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eastAsia="David" w:hAnsi="David"/>
          <w:b/>
          <w:bCs/>
          <w:sz w:val="34"/>
          <w:szCs w:val="34"/>
          <w:rtl/>
        </w:rPr>
        <w:t xml:space="preserve">הצעת מחקר – עבודה סמינריונית</w:t>
      </w:r>
    </w:p>
    <w:p>
      <w:pPr>
        <w:bidi/>
        <w:spacing w:after="360"/>
        <w:jc w:val="center"/>
      </w:pPr>
      <w:r>
        <w:rPr>
          <w:rFonts w:ascii="David" w:cs="David" w:eastAsia="David" w:hAnsi="David"/>
          <w:b/>
          <w:bCs/>
          <w:sz w:val="28"/>
          <w:szCs w:val="28"/>
          <w:rtl/>
        </w:rPr>
        <w:t xml:space="preserve">אמון במשטרה ודיווח של קורבנות על עבירות: עבירות מין בחברה החרדית כמקרה בוחן</w:t>
      </w:r>
    </w:p>
    <w:p>
      <w:pPr>
        <w:bidi/>
        <w:spacing w:after="320" w:line="360"/>
        <w:jc w:val="center"/>
      </w:pPr>
      <w:r>
        <w:rPr>
          <w:rFonts w:ascii="David" w:cs="David" w:eastAsia="David" w:hAnsi="David"/>
          <w:i/>
          <w:iCs/>
          <w:color w:val="7F7F7F"/>
          <w:sz w:val="20"/>
          <w:szCs w:val="20"/>
          <w:rtl/>
        </w:rPr>
        <w:t xml:space="preserve">[שינוי לפי הערות 1 ו‑3: הכותרת מסגרת מחדש את העבודה סביב הקשר בין אמון במשטרה לבין אקט הדיווח של הקורבן על עבירות בכלל, ועבירות המין הוסבו למקרה בוחן ולא לנושא העבודה]</w:t>
      </w:r>
    </w:p>
    <w:p>
      <w:pPr>
        <w:bidi/>
        <w:spacing w:after="140" w:before="320" w:line="320"/>
        <w:jc w:val="right"/>
      </w:pPr>
      <w:r>
        <w:rPr>
          <w:rFonts w:ascii="David" w:cs="David" w:eastAsia="David" w:hAnsi="David"/>
          <w:b/>
          <w:bCs/>
          <w:sz w:val="32"/>
          <w:szCs w:val="32"/>
          <w:u w:val="single"/>
          <w:rtl/>
        </w:rPr>
        <w:t xml:space="preserve">א. רקע ספרותי</w:t>
      </w:r>
    </w:p>
    <w:p>
      <w:pPr>
        <w:bidi/>
        <w:spacing w:after="140" w:before="260" w:line="320"/>
        <w:jc w:val="right"/>
      </w:pPr>
      <w:r>
        <w:rPr>
          <w:rFonts w:ascii="David" w:cs="David" w:eastAsia="David" w:hAnsi="David"/>
          <w:b/>
          <w:bCs/>
          <w:sz w:val="26"/>
          <w:szCs w:val="26"/>
          <w:rtl/>
        </w:rPr>
        <w:t xml:space="preserve">א.1 הפער שבין העבריינות המתרחשת לעבריינות הידועה לרשויות</w:t>
      </w:r>
    </w:p>
    <w:p>
      <w:pPr>
        <w:bidi/>
        <w:spacing w:after="160" w:line="360"/>
        <w:jc w:val="both"/>
      </w:pPr>
      <w:r>
        <w:rPr>
          <w:rFonts w:ascii="David" w:cs="David" w:eastAsia="David" w:hAnsi="David"/>
          <w:rtl/>
        </w:rPr>
        <w:t xml:space="preserve">מערכת אכיפת החוק אינה פועלת על מלוא העבריינות המתרחשת בחברה, אלא על אותו חלק ממנה שהובא לידיעתה. רוב המידע על עבירות מגיע למשטרה ביוזמת האזרח ולא ביוזמת השוטר, ולכן היקף העבריינות הרשומה נגזר במידה רבה מהחלטותיהם של קורבנות עבירה אם לפנות למשטרה אם לאו (Skogan, 1984). מכאן שהחלטת הדיווח של הקורבן היא נקודת מפתח – היא השער שדרכו נכנסת העבירה למערכת, וכל שינוי בנכונות לדווח משנה את התמונה הרשמית של העבריינות גם כאשר היקף העבריינות בפועל נותר קבוע.</w:t>
      </w:r>
    </w:p>
    <w:p>
      <w:pPr>
        <w:bidi/>
        <w:spacing w:after="160" w:line="360"/>
        <w:jc w:val="both"/>
      </w:pPr>
      <w:r>
        <w:rPr>
          <w:rFonts w:ascii="David" w:cs="David" w:eastAsia="David" w:hAnsi="David"/>
          <w:i/>
          <w:iCs/>
          <w:color w:val="7F7F7F"/>
          <w:sz w:val="20"/>
          <w:szCs w:val="20"/>
          <w:rtl/>
        </w:rPr>
        <w:t xml:space="preserve">[שינוי לפי הערה 6: המושגים מוגדרים כאן במפורש לפני שנעשה בהם שימוש בהמשך]</w:t>
      </w:r>
      <w:r>
        <w:rPr>
          <w:rFonts w:ascii="David" w:cs="David" w:eastAsia="David" w:hAnsi="David"/>
          <w:rtl/>
        </w:rPr>
        <w:t xml:space="preserve"> שני מושגים משמשים בעבודה זו לאורכה ויוגדרו תחילה. דיווח למשטרה (police reporting) הוא פנייה יזומה של הקורבן, או של מי מטעמו, לגורמי אכיפת החוק, שבעקבותיה נודע למשטרה על אירוע העבירה. תת‑דיווח (under‑reporting) הוא הפער בין מספר העבירות שהתרחשו בפועל לבין מספר העבירות שהובאו לידיעת המשטרה; מכלול העבירות שאינן מדווחות מכונה בספרות "המספר האפל של העבריינות" (the dark figure of crime), כלומר אותו נפח עבריינות שאינו בא לידי ביטוי בסטטיסטיקה הרשמית (Biderman &amp; Reiss, 1967; Skogan, 1977). אמון במשטרה, בהקשר הנוכחי, הוא הערכתו של הפרט את המשטרה כרשות לגיטימית, הוגנת ובעלת יכולת, ואת הכדאיות והנכונות לפנות אליה ולשתף עמה פעולה (Sunshine &amp; Tyler, 2003).</w:t>
      </w:r>
    </w:p>
    <w:p>
      <w:pPr>
        <w:bidi/>
        <w:spacing w:after="160" w:line="360"/>
        <w:jc w:val="both"/>
      </w:pPr>
      <w:r>
        <w:rPr>
          <w:rFonts w:ascii="David" w:cs="David" w:eastAsia="David" w:hAnsi="David"/>
          <w:rtl/>
        </w:rPr>
        <w:t xml:space="preserve">תת‑דיווח אינו תופעה שולית. בישראל, נתוני סקר הביטחון האישי של הלשכה המרכזית לסטטיסטיקה מלמדים כי רוב הנפגעים מעבירות פרט אינם מדווחים למשטרה, וכי שיעור הדיווח ירד לאורך העשור מ‑36.9% בשנת 2014 ל‑25.6% בשנת 2023 – השיעור הנמוך ביותר בעשור – וזאת דווקא על רקע עלייה בשיעורי ההיפגעות (הלשכה המרכזית לסטטיסטיקה, 2024). נתונים אלה ממחישים כי שיעור הדיווח הוא משתנה בפני עצמו, המשתנה על פני זמן ואינו נגזר ישירות מהיקף העבריינות.</w:t>
      </w:r>
    </w:p>
    <w:p>
      <w:pPr>
        <w:bidi/>
        <w:spacing w:after="140" w:before="260" w:line="320"/>
        <w:jc w:val="right"/>
      </w:pPr>
      <w:r>
        <w:rPr>
          <w:rFonts w:ascii="David" w:cs="David" w:eastAsia="David" w:hAnsi="David"/>
          <w:b/>
          <w:bCs/>
          <w:sz w:val="26"/>
          <w:szCs w:val="26"/>
          <w:rtl/>
        </w:rPr>
        <w:t xml:space="preserve">א.2 מדוע קורבנות מדווחים למשטרה: מסגרות תיאורטיות</w:t>
      </w:r>
    </w:p>
    <w:p>
      <w:pPr>
        <w:bidi/>
        <w:spacing w:after="160" w:line="360"/>
        <w:jc w:val="both"/>
      </w:pPr>
      <w:r>
        <w:rPr>
          <w:rFonts w:ascii="David" w:cs="David" w:eastAsia="David" w:hAnsi="David"/>
          <w:i/>
          <w:iCs/>
          <w:color w:val="7F7F7F"/>
          <w:sz w:val="20"/>
          <w:szCs w:val="20"/>
          <w:rtl/>
        </w:rPr>
        <w:t xml:space="preserve">[שינוי לפי הערה 2: פרק זה נוסף במלואו ומספק את הבסיס התיאורטי להחלטת הדיווח]</w:t>
      </w:r>
    </w:p>
    <w:p>
      <w:pPr>
        <w:bidi/>
        <w:spacing w:after="160" w:line="360"/>
        <w:jc w:val="both"/>
      </w:pPr>
      <w:r>
        <w:rPr>
          <w:rFonts w:ascii="David" w:cs="David" w:eastAsia="David" w:hAnsi="David"/>
          <w:rtl/>
        </w:rPr>
        <w:t xml:space="preserve">הספרות מתייחסת לדיווח לא כאל תגובה אוטומטית לעבירה אלא כאל החלטה של הקורבן, המתקבלת בהקשר רגשי, חברתי ומוסדי. גרינברג ורובק (Greenberg &amp; Ruback, 1992), על יסוד סדרת מחקרים בקרב קורבנות אונס, שוד, פריצה וגנבה, הציעו מודל תלת‑שלבי להחלטתו של הקורבן: תחילה עליו לתייג את האירוע כעבירה, לאחר מכן להעריך את חומרתו, ורק אז להכריע באיזו דרך פעולה לנקוט. לפי המודל, ההכרעה נשענת על ניסיון קודם, על מצוקה רגשית נוכחית ועל הידע שיש לקורבן בדבר האפשרויות העומדות לפניו, והקורבן אינו בוחר בהכרח באפשרות המיטבית אלא באפשרות המספקת סף מינימלי של דרישות. חשיבותו של המודל לענייננו היא בכך שהוא ממקם את הפנייה למשטרה כאחת מכמה חלופות פעולה מתחרות, ולא כברירת המחדל.</w:t>
      </w:r>
    </w:p>
    <w:p>
      <w:pPr>
        <w:bidi/>
        <w:spacing w:after="160" w:line="360"/>
        <w:jc w:val="both"/>
      </w:pPr>
      <w:r>
        <w:rPr>
          <w:rFonts w:ascii="David" w:cs="David" w:eastAsia="David" w:hAnsi="David"/>
          <w:rtl/>
        </w:rPr>
        <w:t xml:space="preserve">גישה שנייה, אינסטרומנטלית, רואה בדיווח שקלול של עלות מול תועלת. סקוגן (Skogan, 1984), בסקירתו את ממצאי סקרי הקורבנות בעולם, הצביע על חומרת האירוע ועל גובה הנזק כמנבאים המרכזיים של דיווח. פלסון ועמיתיו (Felson, Messner, Hoskin, &amp; Deane, 2002), בניתוח נתוני סקר הקורבנות הלאומי בארצות הברית, מצאו כי קורבנות מדווחים בעיקר לשם הגנה עצמית ומתוך תפיסה שהאירוע חמור.</w:t>
      </w:r>
    </w:p>
    <w:p>
      <w:pPr>
        <w:bidi/>
        <w:spacing w:after="160" w:line="360"/>
        <w:jc w:val="both"/>
      </w:pPr>
      <w:r>
        <w:rPr>
          <w:rFonts w:ascii="David" w:cs="David" w:eastAsia="David" w:hAnsi="David"/>
          <w:rtl/>
        </w:rPr>
        <w:t xml:space="preserve">גישה שלישית, נורמטיבית, גורסת כי הנכונות לפנות לרשות אינה נגזרת רק מתועלת צפויה אלא מתפיסת הרשות כלגיטימית. סנשיין וטיילר (Sunshine &amp; Tyler, 2003), בשני סקרים בקרב תושבי ניו יורק, מצאו כי הלגיטימיות שמייחס הציבור למשטרה משפיעה השפעה חזקה על היענותו לה, על נכונותו לשתף עמה פעולה ועל תמיכתו במדיניות המסמיכה אותה, וכי המקור המרכזי ללגיטימיות זו הוא הגינות ההליכים שבהם נוהגת המשטרה (procedural justice) ולא הערכת יעילותה במאבק בעבריינות. יש לדייק כי המחקר בחן נכונות כללית לשתף פעולה ולא מדד ישירות דיווח על היפגעות; המעבר מלגיטימיות לנכונות לדווח הוא ההנחה שהעבודה הנוכחית מבקשת לבחון.</w:t>
      </w:r>
    </w:p>
    <w:p>
      <w:pPr>
        <w:bidi/>
        <w:spacing w:after="160" w:line="360"/>
        <w:jc w:val="both"/>
      </w:pPr>
      <w:r>
        <w:rPr>
          <w:rFonts w:ascii="David" w:cs="David" w:eastAsia="David" w:hAnsi="David"/>
          <w:rtl/>
        </w:rPr>
        <w:t xml:space="preserve">לבסוף, ההחלטה מושפעת גם ממאפייני האירוע ומההקשר הסביבתי. פישר ועמיתיה (Fisher, Daigle, Cullen, &amp; Turner, 2003) מצאו כי אירועים דווחו למשטרה בשיעור גבוה יותר כאשר היו להם מאפיינים שהפכו אותם ל"אמינים" יותר בעיני הקורבן, כגון נוכחות נשק או תוקף שאינו מוכר לקורבן. באומר (Baumer, 2002), שבחן את השפעת המצוקה השכונתית על הודעה למשטרה מצד קורבנות אלימות, מצא כי למצוקה השכונתית לא הייתה השפעה מובהקת בקרב קורבנות שוד ותקיפה חמורה, ואילו בקרב קורבנות תקיפה פשוטה נמצאה השפעה עקומתית – ממצא המלמד כי הקשר בין ההקשר החברתי לבין הדיווח מורכב ואינו ליניארי.</w:t>
      </w:r>
    </w:p>
    <w:p>
      <w:pPr>
        <w:bidi/>
        <w:spacing w:after="140" w:before="260" w:line="320"/>
        <w:jc w:val="right"/>
      </w:pPr>
      <w:r>
        <w:rPr>
          <w:rFonts w:ascii="David" w:cs="David" w:eastAsia="David" w:hAnsi="David"/>
          <w:b/>
          <w:bCs/>
          <w:sz w:val="26"/>
          <w:szCs w:val="26"/>
          <w:rtl/>
        </w:rPr>
        <w:t xml:space="preserve">א.3 מדוע קורבנות נמנעים מדיווח: הגורמים לתת‑דיווח</w:t>
      </w:r>
    </w:p>
    <w:p>
      <w:pPr>
        <w:bidi/>
        <w:spacing w:after="160" w:line="360"/>
        <w:jc w:val="both"/>
      </w:pPr>
      <w:r>
        <w:rPr>
          <w:rFonts w:ascii="David" w:cs="David" w:eastAsia="David" w:hAnsi="David"/>
          <w:i/>
          <w:iCs/>
          <w:color w:val="7F7F7F"/>
          <w:sz w:val="20"/>
          <w:szCs w:val="20"/>
          <w:rtl/>
        </w:rPr>
        <w:t xml:space="preserve">[שינוי לפי הערה 2]</w:t>
      </w:r>
    </w:p>
    <w:p>
      <w:pPr>
        <w:bidi/>
        <w:spacing w:after="160" w:line="360"/>
        <w:jc w:val="both"/>
      </w:pPr>
      <w:r>
        <w:rPr>
          <w:rFonts w:ascii="David" w:cs="David" w:eastAsia="David" w:hAnsi="David"/>
          <w:rtl/>
        </w:rPr>
        <w:t xml:space="preserve">הגורמים להימנעות מדיווח אינם מהווים ראי הפוך של הגורמים לדיווח. סקוגן (Skogan, 1977) הראה כי מאגר העבירות שאינן מדווחות מוטה לכיוון אירועים חמורים פחות – נזק כספי קטן, פגיעה גופנית מועטה ושימוש מועט בנשק. פלסון ועמיתיו (Felson et al., 2002) זיהו שלושה חסמים מובחנים המפחיתים דיווח, ובמיוחד באלימות בין מכרים: שיקולי פרטיות, חשש מנקמה של הפוגע, ורצון להגן על הפוגע עצמו. שלושת החסמים הללו רלוונטיים במיוחד לעבירות המתרחשות בתוך מעגלים חברתיים סגורים.</w:t>
      </w:r>
    </w:p>
    <w:p>
      <w:pPr>
        <w:bidi/>
        <w:spacing w:after="160" w:line="360"/>
        <w:jc w:val="both"/>
      </w:pPr>
      <w:r>
        <w:rPr>
          <w:rFonts w:ascii="David" w:cs="David" w:eastAsia="David" w:hAnsi="David"/>
          <w:rtl/>
        </w:rPr>
        <w:t xml:space="preserve">לצד חסמים ברמת האירוע פועלים חסמים ברמת התרבות הקהילתית. קרק ופפכריסטוס (Kirk &amp; Papachristos, 2011) הציעו את המושג ציניות משפטית (legal cynicism) – מסגרת תרבותית שבמסגרתה תופסים חברי קהילה את החוק כבלתי לגיטימי, כלא‑קשוב וכבלתי מסוגל להבטיח את ביטחונם. הם הראו כי ציניות משפטית מסבירה את התמדתה של האלימות בשכונות מסוימות בשיקגו גם כאשר העוני והאלימות ירדו בעיר כולה. משמעותה של הציניות המשפטית לענייננו היא שגם קורבן המזהה את האירוע כעבירה חמורה עשוי שלא לפנות למשטרה, אם המסגרת התרבותית שבתוכה הוא פועל אינה מכירה בפנייה זו כמסלול פעולה סביר.</w:t>
      </w:r>
    </w:p>
    <w:p>
      <w:pPr>
        <w:bidi/>
        <w:spacing w:after="160" w:line="360"/>
        <w:jc w:val="both"/>
      </w:pPr>
      <w:r>
        <w:rPr>
          <w:rFonts w:ascii="David" w:cs="David" w:eastAsia="David" w:hAnsi="David"/>
          <w:rtl/>
        </w:rPr>
        <w:t xml:space="preserve">חסם נוסף עולה מן המחקר על יחסי משטרה–מיעוטים בחברות משוסעות. חסיסי ווייצר (Hasisi &amp; Weitzer, 2007) מצאו כי ערבים בישראל מעריכים את המשטרה בשלילה יותר מיהודים, וכי פערים אלה נשמרים גם בפיקוח על משתנים נוספים. חסיסי (Hasisi, 2008) הראה כי בחברות משוסעות בעיות הלגיטימציה של המשטר כלפי קבוצת המיעוט מתגלגלות אל היחס למשטרה, וכי הפערים הפוליטיים והתרבותיים בין ערבים ליהודים בישראל הפחיתו את אמונם של ערבים במשטרה ואת נכונותם לשתף עמה פעולה. עכריה, חסיסי ופקטור (Akariya, Hasisi, &amp; Factor, 2025), בסקר טלפוני מייצג בקרב 1,000 ישראלים, מצאו כי בני המיעוט הערבי המתגוררים ביישובים מעורבים מגלים את רמות הלגיטימציה והנכונות לסייע במניעת פשיעה הנמוכות ביותר. </w:t>
      </w:r>
      <w:r>
        <w:rPr>
          <w:rFonts w:ascii="David" w:cs="David" w:eastAsia="David" w:hAnsi="David"/>
          <w:i/>
          <w:iCs/>
          <w:color w:val="7F7F7F"/>
          <w:sz w:val="20"/>
          <w:szCs w:val="20"/>
          <w:rtl/>
        </w:rPr>
        <w:t xml:space="preserve">[מקורות אלה של Hasisi הובאו כאן משום שהם עוסקים ישירות בקשר שבין אמון קבוצת מיעוט במשטרה לבין נכונותה לשתף עמה פעולה, ולא לשם השאלת סגנון בלבד; אין בהם התייחסות לחברה החרדית]</w:t>
      </w:r>
    </w:p>
    <w:p>
      <w:pPr>
        <w:bidi/>
        <w:spacing w:after="140" w:before="260" w:line="320"/>
        <w:jc w:val="right"/>
      </w:pPr>
      <w:r>
        <w:rPr>
          <w:rFonts w:ascii="David" w:cs="David" w:eastAsia="David" w:hAnsi="David"/>
          <w:b/>
          <w:bCs/>
          <w:sz w:val="26"/>
          <w:szCs w:val="26"/>
          <w:rtl/>
        </w:rPr>
        <w:t xml:space="preserve">א.4 מנגנוני יישוב סכסוכים פנים‑קהילתיים: מן החברה הכללית אל החברה החרדית</w:t>
      </w:r>
    </w:p>
    <w:p>
      <w:pPr>
        <w:bidi/>
        <w:spacing w:after="160" w:line="360"/>
        <w:jc w:val="both"/>
      </w:pPr>
      <w:r>
        <w:rPr>
          <w:rFonts w:ascii="David" w:cs="David" w:eastAsia="David" w:hAnsi="David"/>
          <w:i/>
          <w:iCs/>
          <w:color w:val="7F7F7F"/>
          <w:sz w:val="20"/>
          <w:szCs w:val="20"/>
          <w:rtl/>
        </w:rPr>
        <w:t xml:space="preserve">[שינוי לפי הערות 2 ו‑5: מעבר מהרחב (קהילות סגורות בכלל) אל הצר (החברה החרדית בישראל)]</w:t>
      </w:r>
    </w:p>
    <w:p>
      <w:pPr>
        <w:bidi/>
        <w:spacing w:after="160" w:line="360"/>
        <w:jc w:val="both"/>
      </w:pPr>
      <w:r>
        <w:rPr>
          <w:rFonts w:ascii="David" w:cs="David" w:eastAsia="David" w:hAnsi="David"/>
          <w:rtl/>
        </w:rPr>
        <w:t xml:space="preserve">בכל חברה קיימים מסלולי טיפול בסכסוכים המקבילים למערכת אכיפת החוק – פנייה למשפחה, לחברים, לגורמי טיפול או למנהיגות מקומית. חלקם משלימים את הדיווח למשטרה וחלקם מחליפים אותו. כאשר הקהילה מחזיקה במנגנוני בירור וענישה משלה, ובפרט כאשר היא רואה בפנייה החוצה פגיעה בסולידריות הפנימית, המסלול הפנימי עשוי לתפוס את מקומו של הדיווח.</w:t>
      </w:r>
    </w:p>
    <w:p>
      <w:pPr>
        <w:bidi/>
        <w:spacing w:after="160" w:line="360"/>
        <w:jc w:val="both"/>
      </w:pPr>
      <w:r>
        <w:rPr>
          <w:rFonts w:ascii="David" w:cs="David" w:eastAsia="David" w:hAnsi="David"/>
          <w:rtl/>
        </w:rPr>
        <w:t xml:space="preserve">החברה החרדית היא קבוצת מיעוט יהודית המאופיינת בשמרנות תרבותית, בנאמנות מובהקת לקהילה ובקודים התנהגותיים דתיים מחמירים (Lusky‑Weisrose, Marmor, &amp; Tener, 2021). בסקירת הספרות שערכו לוסקי‑ויסרוז, מרמור וטנר על התעללות מינית בקהילה היהודית האורתודוקסית בצפון אמריקה, בישראל ובאוסטרליה, נמנו החסמים המרכזיים לדיווח: איסורי "מסירה" ו"לשון הרע" – האיסור למסור יהודי לרשויות חילוניות והאיסור לדבר בגנותו – הפחדה, תפקידי מגדר, והסתמכות על בתי דין רבניים. קצנשטיין ופונטס (Katzenstein &amp; Fontes, 2017) עמדו על אותם חסמים בהסבירם את תת‑הדיווח על התעללות מינית בילדים בקהילות אורתודוקסיות.</w:t>
      </w:r>
    </w:p>
    <w:p>
      <w:pPr>
        <w:bidi/>
        <w:spacing w:after="160" w:line="360"/>
        <w:jc w:val="both"/>
      </w:pPr>
      <w:r>
        <w:rPr>
          <w:rFonts w:ascii="David" w:cs="David" w:eastAsia="David" w:hAnsi="David"/>
          <w:rtl/>
        </w:rPr>
        <w:t xml:space="preserve">עם זאת, התמונה אינה אחידה. אלפנדרי, ענוש ורכניצר (Alfandari, Enosh, &amp; Rechnitzer, 2021), שראיינו שלושים ממנהיגי הקהילה החרדית בישראל – 12 רבנים, 6 פעילי קהילה ו‑12 אנשי מקצוע – מצאו כי מנהיגי הקהילה אינם מתנגדים באופן גורף לחובת הדיווח, וכי תגובותיהם להתעללות מינית בילדים נשענות על שקלול רציונלי של רווחים והפסדים ולא על התנגדות עקרונית בלבד. קרוול‑טובי (Kravel‑Tovi, 2024), בעבודת שדה אנתרופולוגית ממושכת, תיארה כיצד בעשור האחרון התרחשה בחברה החרדית בישראל תנועה חסרת תקדים להעלאת נושא האלימות המינית לסדר היום הקהילתי, וכיצד תנועה זו מולידה בריתות בלתי שגרתיות עם גופי מדינה – תהליכים פדגוגיים, שיחניים ומוסדיים של שיתוף פעולה ובניית אמון בין מנהיגות חרדית ובין נציגי המדינה החילונית, שהם דו‑כיווניים: הם מקדמים את החִבְרוּת של האוכלוסייה החרדית לחוקי המדינה ובה בעת מחייבים את המדינה להתאים את שירותיה לרגישויות תרבותיות. </w:t>
      </w:r>
      <w:r>
        <w:rPr>
          <w:rFonts w:ascii="David" w:cs="David" w:eastAsia="David" w:hAnsi="David"/>
          <w:i/>
          <w:iCs/>
          <w:color w:val="7F7F7F"/>
          <w:sz w:val="20"/>
          <w:szCs w:val="20"/>
          <w:rtl/>
        </w:rPr>
        <w:t xml:space="preserve">[תיקון לפי הערה 7: בגרסה הקודמת יוחסה ל‑Kravel‑Tovi (2024) הטענה שהמשטרה נתפסת בחברה החרדית כ"ממסד עוין המחפש לפגוע בקהילה, להפליל את חבריה או לכפות עליה ערכים זרים". טענה זו אינה הטיעון המרכזי של המאמר, שעניינו דווקא בבניית אמון ובשיתוף פעולה, ולכן הניסוח תוקן. ככל שיידרש ביסוס לטענה בדבר תפיסת המדינה כעוינת – ⟦דרוש מקור: תפיסת רשויות אכיפת החוק בחברה החרדית בישראל כממסד עוין המבקש לפגוע בקהילה או לכפות עליה ערכים זרים]</w:t>
      </w:r>
      <w:r>
        <w:rPr>
          <w:rFonts w:ascii="David" w:cs="David" w:eastAsia="David" w:hAnsi="David"/>
          <w:rtl/>
        </w:rPr>
        <w:t xml:space="preserve">⟧</w:t>
      </w:r>
    </w:p>
    <w:p>
      <w:pPr>
        <w:bidi/>
        <w:spacing w:after="160" w:line="360"/>
        <w:jc w:val="both"/>
      </w:pPr>
      <w:r>
        <w:rPr>
          <w:rFonts w:ascii="David" w:cs="David" w:eastAsia="David" w:hAnsi="David"/>
          <w:rtl/>
        </w:rPr>
        <w:t xml:space="preserve">בפועל, לצד המסלול המשטרתי ובתי הדין הרבניים התפתחו בחברה החרדית גם זירות חשיפה נוספות. לוסקי‑ויסרוז, פליישמן וטנר (Lusky‑Weisrose, Fleishman, &amp; Tener, 2022) בחנו חשיפה מקוונת של פגיעות מיניות בילדים מצד דמויות סמכות בקהילה החרדית בישראל, כלומר מסלול שאינו עובר דרך הרשויות הפורמליות. ממצא זה מתכתב עם ממצאם של פישר ועמיתיה (Fisher et al., 2003), שלפיו שיעור גבוה מן האירועים שאינם מדווחים לרשויות נחשף בכל זאת בפני גורם אחר, ובעיקר בפני חברים – כלומר, ההימנעות מדיווח למשטרה אינה בהכרח שתיקה מוחלטת אלא הפניית הדיווח לערוץ חלופי.</w:t>
      </w:r>
    </w:p>
    <w:p>
      <w:pPr>
        <w:bidi/>
        <w:spacing w:after="160" w:line="360"/>
        <w:jc w:val="both"/>
      </w:pPr>
      <w:r>
        <w:rPr>
          <w:rFonts w:ascii="David" w:cs="David" w:eastAsia="David" w:hAnsi="David"/>
          <w:rtl/>
        </w:rPr>
        <w:t xml:space="preserve">לצד זאת, ניכרת בשני העשורים האחרונים מגמת עלייה בפניות לגורמי הרווחה בחברה החרדית בישראל. פינקלשטיין (2021) מצא כי שיעור הילדים המטופלים במחלקות הרווחה ברשויות החרדיות בשל פגיעה או אלימות מינית עלה מ‑0.15 לאלף ילדים בשנת 2000 ל‑1.5 בשנת 2010 ול‑3.7 בשנת 2019, ובשנת 2020 עמד על 3.29 לאלף – לעומת 1.98 ברשויות יהודיות שאינן חרדיות ו‑0.69 ברשויות ערביות. פינקלשטיין מדגיש כי העלייה משקפת שיפור בנכונות לדווח ובמודעות הציבורית, ולא עלייה בהיקף הפגיעות עצמן. יש לשים לב כי נתונים אלה מתייחסים לפנייה לגורמי הרווחה ולא לדיווח למשטרה, והשאלה אם המגמה באה לידי ביטוי גם בדיווח למשטרה נותרת פתוחה. </w:t>
      </w:r>
      <w:r>
        <w:rPr>
          <w:rFonts w:ascii="David" w:cs="David" w:eastAsia="David" w:hAnsi="David"/>
          <w:i/>
          <w:iCs/>
          <w:color w:val="7F7F7F"/>
          <w:sz w:val="20"/>
          <w:szCs w:val="20"/>
          <w:rtl/>
        </w:rPr>
        <w:t xml:space="preserve">[שינוי לפי הערה 3: הובהר כי מדובר במדד של פנייה לרווחה ולא של דיווח למשטרה]</w:t>
      </w:r>
    </w:p>
    <w:p>
      <w:pPr>
        <w:bidi/>
        <w:spacing w:after="140" w:before="260" w:line="320"/>
        <w:jc w:val="right"/>
      </w:pPr>
      <w:r>
        <w:rPr>
          <w:rFonts w:ascii="David" w:cs="David" w:eastAsia="David" w:hAnsi="David"/>
          <w:b/>
          <w:bCs/>
          <w:sz w:val="26"/>
          <w:szCs w:val="26"/>
          <w:rtl/>
        </w:rPr>
        <w:t xml:space="preserve">א.5 מדוע נבחרו עבירות מין כמקרה בוחן</w:t>
      </w:r>
    </w:p>
    <w:p>
      <w:pPr>
        <w:bidi/>
        <w:spacing w:after="160" w:line="360"/>
        <w:jc w:val="both"/>
      </w:pPr>
      <w:r>
        <w:rPr>
          <w:rFonts w:ascii="David" w:cs="David" w:eastAsia="David" w:hAnsi="David"/>
          <w:i/>
          <w:iCs/>
          <w:color w:val="7F7F7F"/>
          <w:sz w:val="20"/>
          <w:szCs w:val="20"/>
          <w:rtl/>
        </w:rPr>
        <w:t xml:space="preserve">[שינוי לפי הערה 1: הנימוק לבחירת עבירות המין כדוגמה מייצגת, ולא כנושא המחקר]</w:t>
      </w:r>
    </w:p>
    <w:p>
      <w:pPr>
        <w:bidi/>
        <w:spacing w:after="160" w:line="360"/>
        <w:jc w:val="both"/>
      </w:pPr>
      <w:r>
        <w:rPr>
          <w:rFonts w:ascii="David" w:cs="David" w:eastAsia="David" w:hAnsi="David"/>
          <w:rtl/>
        </w:rPr>
        <w:t xml:space="preserve">העבודה בוחנת את הקשר בין אמון במשטרה לבין דיווח של קורבנות על עבירות באופן כללי. עבירות המין נבחרו לשמש בה מקרה בוחן מייצג, משלוש סיבות.</w:t>
      </w:r>
    </w:p>
    <w:p>
      <w:pPr>
        <w:pStyle w:val="ListParagraph"/>
        <w:numPr>
          <w:ilvl w:val="0"/>
          <w:numId w:val="2"/>
        </w:numPr>
        <w:bidi/>
        <w:spacing w:after="100" w:line="340"/>
        <w:jc w:val="both"/>
      </w:pPr>
      <w:r>
        <w:rPr>
          <w:rFonts w:ascii="David" w:cs="David" w:eastAsia="David" w:hAnsi="David"/>
          <w:rtl/>
        </w:rPr>
        <w:t xml:space="preserve">ראשית, עבירות מין מאופיינות בתת‑דיווח קיצוני. פישר ועמיתיה (Fisher et al., 2003), במדגם ארצי אקראי של 4,446 סטודנטיות בארצות הברית, מצאו כי רק 4.5% מאירועי האונס דווחו למשטרה, וכי מכלל אירועי ההיפגעות המינית דווחו למשטרה 2.1% בלבד. שיעור דיווח נמוך כל כך מותיר טווח תנועה רחב במיוחד למשתנה התלוי.</w:t>
      </w:r>
    </w:p>
    <w:p>
      <w:pPr>
        <w:pStyle w:val="ListParagraph"/>
        <w:numPr>
          <w:ilvl w:val="0"/>
          <w:numId w:val="2"/>
        </w:numPr>
        <w:bidi/>
        <w:spacing w:after="100" w:line="340"/>
        <w:jc w:val="both"/>
      </w:pPr>
      <w:r>
        <w:rPr>
          <w:rFonts w:ascii="David" w:cs="David" w:eastAsia="David" w:hAnsi="David"/>
          <w:rtl/>
        </w:rPr>
        <w:t xml:space="preserve">שנית, מכיוון שהחסמים לדיווח בעבירות מין הם ברובם חסמים חברתיים ותפיסתיים – בושה, פרטיות, חשש מנקמה, הגנה על הפוגע (Felson et al., 2002) – ולא חסמים טכניים, סביר להניח כי שיעור הדיווח בהן רגיש במיוחד לשינויים ביחס הקורבן אל הרשות שאליה עליו לפנות. </w:t>
      </w:r>
      <w:r>
        <w:rPr>
          <w:rFonts w:ascii="David" w:cs="David" w:eastAsia="David" w:hAnsi="David"/>
          <w:i/>
          <w:iCs/>
          <w:color w:val="7F7F7F"/>
          <w:sz w:val="20"/>
          <w:szCs w:val="20"/>
          <w:rtl/>
        </w:rPr>
        <w:t xml:space="preserve">[דרוש מקור: מחקר אמפירי המשווה את רגישותו של שיעור הדיווח לשינויים באמון במשטרה בין עבירות מין לבין סוגי עבירה אחרים. בהיעדר מקור כזה, טענה זו מוצגת כהנחת עבודה תיאורטית הנגזרת מן הספרות ולא כממצא]</w:t>
      </w:r>
    </w:p>
    <w:p>
      <w:pPr>
        <w:pStyle w:val="ListParagraph"/>
        <w:numPr>
          <w:ilvl w:val="0"/>
          <w:numId w:val="2"/>
        </w:numPr>
        <w:bidi/>
        <w:spacing w:after="100" w:line="340"/>
        <w:jc w:val="both"/>
      </w:pPr>
      <w:r>
        <w:rPr>
          <w:rFonts w:ascii="David" w:cs="David" w:eastAsia="David" w:hAnsi="David"/>
          <w:rtl/>
        </w:rPr>
        <w:t xml:space="preserve">שלישית, בחברה החרדית מתועדת פעילות מכוונת בנושא זה בפרט – הן ברמת הקהילה (Kravel‑Tovi, 2024) והן ברמת נתוני הרווחה (פינקלשטיין, 2021) – ולכן קיימת בו תשתית ספרותית ונתונית המאפשרת בחינה אמפירית.</w:t>
      </w:r>
    </w:p>
    <w:p>
      <w:pPr>
        <w:bidi/>
        <w:spacing w:after="160" w:line="360"/>
        <w:jc w:val="both"/>
      </w:pPr>
      <w:r>
        <w:rPr>
          <w:rFonts w:ascii="David" w:cs="David" w:eastAsia="David" w:hAnsi="David"/>
          <w:rtl/>
        </w:rPr>
        <w:t xml:space="preserve">חשוב להדגיש כי אין מדובר במחקר על עבירות מין. העבודה אינה עוסקת בהיקפן של עבירות המין, במאפייניהן, בפוגעים או בנסיבות ביצוען, אלא באקט הדיווח של הקורבן ובקשר שבינו לבין אמונו במשטרה. עבירות המין משמשות כאן כזירת בחינה שבה הקשר הנחקר צפוי להתבטא בבירור. </w:t>
      </w:r>
      <w:r>
        <w:rPr>
          <w:rFonts w:ascii="David" w:cs="David" w:eastAsia="David" w:hAnsi="David"/>
          <w:i/>
          <w:iCs/>
          <w:color w:val="7F7F7F"/>
          <w:sz w:val="20"/>
          <w:szCs w:val="20"/>
          <w:rtl/>
        </w:rPr>
        <w:t xml:space="preserve">[שינוי לפי הערה 3]</w:t>
      </w:r>
    </w:p>
    <w:p>
      <w:pPr>
        <w:bidi/>
        <w:spacing w:after="140" w:before="260" w:line="320"/>
        <w:jc w:val="right"/>
      </w:pPr>
      <w:r>
        <w:rPr>
          <w:rFonts w:ascii="David" w:cs="David" w:eastAsia="David" w:hAnsi="David"/>
          <w:b/>
          <w:bCs/>
          <w:sz w:val="26"/>
          <w:szCs w:val="26"/>
          <w:rtl/>
        </w:rPr>
        <w:t xml:space="preserve">א.6 שאלת המחקר וההשערות</w:t>
      </w:r>
    </w:p>
    <w:p>
      <w:pPr>
        <w:bidi/>
        <w:spacing w:after="160" w:line="360"/>
        <w:jc w:val="both"/>
      </w:pPr>
      <w:r>
        <w:rPr>
          <w:rFonts w:ascii="David" w:cs="David" w:eastAsia="David" w:hAnsi="David"/>
          <w:i/>
          <w:iCs/>
          <w:color w:val="7F7F7F"/>
          <w:sz w:val="20"/>
          <w:szCs w:val="20"/>
          <w:rtl/>
        </w:rPr>
        <w:t xml:space="preserve">[שינוי לפי הערות 1 ו‑3: שאלת המחקר הורחבה מדיווח על עבירות מין לדיווח על עבירות בכלל, והמוקד הוסט במפורש אל הקורבן המדווח]</w:t>
      </w:r>
    </w:p>
    <w:p>
      <w:pPr>
        <w:bidi/>
        <w:spacing w:after="160" w:line="360"/>
        <w:jc w:val="both"/>
      </w:pPr>
      <w:r>
        <w:rPr>
          <w:rFonts w:ascii="David" w:cs="David" w:eastAsia="David" w:hAnsi="David"/>
          <w:b/>
          <w:bCs/>
          <w:rtl/>
        </w:rPr>
        <w:t xml:space="preserve">שאלת המחקר המרכזית: האם קיים קשר בין רמת האמון של האוכלוסייה החרדית בישראל במשטרה לבין נכונותם של קורבנות עבירה מקרב אוכלוסייה זו לדווח למשטרה על היפגעותם?</w:t>
      </w:r>
    </w:p>
    <w:p>
      <w:pPr>
        <w:bidi/>
        <w:spacing w:after="160" w:line="360"/>
        <w:jc w:val="both"/>
      </w:pPr>
      <w:r>
        <w:rPr>
          <w:rFonts w:ascii="David" w:cs="David" w:eastAsia="David" w:hAnsi="David"/>
          <w:b/>
          <w:bCs/>
          <w:rtl/>
        </w:rPr>
        <w:t xml:space="preserve">שאלת משנה: האם קשר זה בא לידי ביטוי גם בעבירות מין, המשמשות מקרה בוחן בשל תת‑הדיווח הגבוה המאפיין אותן?</w:t>
      </w:r>
    </w:p>
    <w:p>
      <w:pPr>
        <w:bidi/>
        <w:spacing w:after="160" w:line="360"/>
        <w:jc w:val="both"/>
      </w:pPr>
      <w:r>
        <w:rPr>
          <w:rFonts w:ascii="David" w:cs="David" w:eastAsia="David" w:hAnsi="David"/>
          <w:rtl/>
        </w:rPr>
        <w:t xml:space="preserve">ההשערות הנגזרות:</w:t>
      </w:r>
    </w:p>
    <w:p>
      <w:pPr>
        <w:pStyle w:val="ListParagraph"/>
        <w:numPr>
          <w:ilvl w:val="0"/>
          <w:numId w:val="2"/>
        </w:numPr>
        <w:bidi/>
        <w:spacing w:after="100" w:line="340"/>
        <w:jc w:val="both"/>
      </w:pPr>
      <w:r>
        <w:rPr>
          <w:rFonts w:ascii="David" w:cs="David" w:eastAsia="David" w:hAnsi="David"/>
          <w:rtl/>
        </w:rPr>
        <w:t xml:space="preserve">השערה 1: קיים קשר חיובי בין רמת האמון במשטרה בקרב האוכלוסייה החרדית לבין שיעור הקורבנות מקרב אוכלוסייה זו המדווחים למשטרה על היפגעותם – ככל שהאמון גבוה יותר, כך שיעור הדיווח גבוה יותר.</w:t>
      </w:r>
    </w:p>
    <w:p>
      <w:pPr>
        <w:pStyle w:val="ListParagraph"/>
        <w:numPr>
          <w:ilvl w:val="0"/>
          <w:numId w:val="2"/>
        </w:numPr>
        <w:bidi/>
        <w:spacing w:after="100" w:line="340"/>
        <w:jc w:val="both"/>
      </w:pPr>
      <w:r>
        <w:rPr>
          <w:rFonts w:ascii="David" w:cs="David" w:eastAsia="David" w:hAnsi="David"/>
          <w:rtl/>
        </w:rPr>
        <w:t xml:space="preserve">השערה 2: הקשר שבהשערה 1 יימצא גם כאשר הניתוח מוגבל לקורבנות עבירות מין.</w:t>
      </w:r>
    </w:p>
    <w:p>
      <w:pPr>
        <w:pStyle w:val="ListParagraph"/>
        <w:numPr>
          <w:ilvl w:val="0"/>
          <w:numId w:val="2"/>
        </w:numPr>
        <w:bidi/>
        <w:spacing w:after="100" w:line="340"/>
        <w:jc w:val="both"/>
      </w:pPr>
      <w:r>
        <w:rPr>
          <w:rFonts w:ascii="David" w:cs="David" w:eastAsia="David" w:hAnsi="David"/>
          <w:rtl/>
        </w:rPr>
        <w:t xml:space="preserve">השערה 3 (חוקרת, לא מכוונת): עוצמת הקשר בקרב קורבנות עבירות מין תהיה גבוהה מזו שבכלל העבירות. השערה זו מוצגת כהשערה חוקרת בלבד, שכן היא נשענת על הנחת הרגישות שלא נמצא לה ביסוס אמפירי ישיר (ראו סעיף א.5).</w:t>
      </w:r>
    </w:p>
    <w:p>
      <w:pPr>
        <w:bidi/>
        <w:spacing w:after="140" w:before="320" w:line="320"/>
        <w:jc w:val="right"/>
      </w:pPr>
      <w:r>
        <w:rPr>
          <w:rFonts w:ascii="David" w:cs="David" w:eastAsia="David" w:hAnsi="David"/>
          <w:b/>
          <w:bCs/>
          <w:sz w:val="32"/>
          <w:szCs w:val="32"/>
          <w:u w:val="single"/>
          <w:rtl/>
        </w:rPr>
        <w:t xml:space="preserve">ב. מערך המחקר</w:t>
      </w:r>
    </w:p>
    <w:p>
      <w:pPr>
        <w:bidi/>
        <w:spacing w:after="140" w:before="260" w:line="320"/>
        <w:jc w:val="right"/>
      </w:pPr>
      <w:r>
        <w:rPr>
          <w:rFonts w:ascii="David" w:cs="David" w:eastAsia="David" w:hAnsi="David"/>
          <w:b/>
          <w:bCs/>
          <w:sz w:val="26"/>
          <w:szCs w:val="26"/>
          <w:rtl/>
        </w:rPr>
        <w:t xml:space="preserve">ב.1 עיצוב המחקר</w:t>
      </w:r>
    </w:p>
    <w:p>
      <w:pPr>
        <w:bidi/>
        <w:spacing w:after="160" w:line="360"/>
        <w:jc w:val="both"/>
      </w:pPr>
      <w:r>
        <w:rPr>
          <w:rFonts w:ascii="David" w:cs="David" w:eastAsia="David" w:hAnsi="David"/>
          <w:rtl/>
        </w:rPr>
        <w:t xml:space="preserve">המחקר הוא מחקר מתאמי המבוסס על ניתוח משני של נתונים קיימים. הוא נחלק לשני שלבים: שלב תיאורי, שבו אתאר את מגמות שיעור הדיווח של קורבנות ואת מגמות האמון במשטרה בקרב האוכלוסייה החרדית לאורך זמן; ושלב הסקי, שבו אבחן את הקשר בין שני המשתנים. </w:t>
      </w:r>
      <w:r>
        <w:rPr>
          <w:rFonts w:ascii="David" w:cs="David" w:eastAsia="David" w:hAnsi="David"/>
          <w:i/>
          <w:iCs/>
          <w:color w:val="7F7F7F"/>
          <w:sz w:val="20"/>
          <w:szCs w:val="20"/>
          <w:rtl/>
        </w:rPr>
        <w:t xml:space="preserve">[שינוי לפי הערה 5: הצגת מבנה הפרק לפני הפירוט]</w:t>
      </w:r>
    </w:p>
    <w:p>
      <w:pPr>
        <w:bidi/>
        <w:spacing w:after="140" w:before="260" w:line="320"/>
        <w:jc w:val="right"/>
      </w:pPr>
      <w:r>
        <w:rPr>
          <w:rFonts w:ascii="David" w:cs="David" w:eastAsia="David" w:hAnsi="David"/>
          <w:b/>
          <w:bCs/>
          <w:sz w:val="26"/>
          <w:szCs w:val="26"/>
          <w:rtl/>
        </w:rPr>
        <w:t xml:space="preserve">ב.2 מקורות הנתונים</w:t>
      </w:r>
    </w:p>
    <w:p>
      <w:pPr>
        <w:bidi/>
        <w:spacing w:after="160" w:line="360"/>
        <w:jc w:val="both"/>
      </w:pPr>
      <w:r>
        <w:rPr>
          <w:rFonts w:ascii="David" w:cs="David" w:eastAsia="David" w:hAnsi="David"/>
          <w:rtl/>
        </w:rPr>
        <w:t xml:space="preserve">סקר הביטחון האישי של הלשכה המרכזית לסטטיסטיקה. הסקר מבוצע מדי שנה החל משנת 2014, ביוזמת המשרד לביטחון לאומי ובמימונו, בקרב האוכלוסייה הקבועה בישראל בגילי 20 ומעלה. מדי שנה נדגמים כ‑7,000 איש לצורך קבלת כ‑5,000 שאלונים מלאים, ושיעור ההשבה לאורך העשור עומד על כ‑70%. הסקר מספק נתונים על היפגעות מחמישה סוגי עבירות כלפי הפרט – גנבה, אלימות או איום באלימות, הטרדה מינית, עבירת מין ועבירה מקוונת – וכן על דיווח ההיפגעות למשטרה (הלשכה המרכזית לסטטיסטיקה, 2024). הסקר משמש למדידת ההיפגעות מעבריינות מדווחת ובלתי מדווחת כאחת, ולכן הוא המקור המתאים לאמידת שיעור הדיווח.</w:t>
      </w:r>
    </w:p>
    <w:p>
      <w:pPr>
        <w:bidi/>
        <w:spacing w:after="160" w:line="360"/>
        <w:jc w:val="both"/>
      </w:pPr>
      <w:r>
        <w:rPr>
          <w:rFonts w:ascii="David" w:cs="David" w:eastAsia="David" w:hAnsi="David"/>
          <w:rtl/>
        </w:rPr>
        <w:t xml:space="preserve">בחרתי במקור זה, ולא בנתוני תיקי המשטרה, משום שאין נתונים זמינים על חלוקת תיקי העבירות במשטרה לפי רמת דתיות, ומשום שחלוקה לפי עיר מגורים בעייתית – חרדים רבים מתגוררים בערים מעורבות. יתרון נוסף של הסקר הוא שהוא לוכד גם עבירות שלא דווחו, ולכן הוא מאפשר לחשב שיעור דיווח ולא רק ספירה של דיווחים.</w:t>
      </w:r>
    </w:p>
    <w:p>
      <w:pPr>
        <w:bidi/>
        <w:spacing w:after="160" w:line="360"/>
        <w:jc w:val="both"/>
      </w:pPr>
      <w:r>
        <w:rPr>
          <w:rFonts w:ascii="David" w:cs="David" w:eastAsia="David" w:hAnsi="David"/>
          <w:rtl/>
        </w:rPr>
        <w:t xml:space="preserve">מדד הדמוקרטיה הישראלית של המכון הישראלי לדמוקרטיה. המדד מתפרסם מדי שנה וכולל מדידה של אמון הציבור במשטרה. </w:t>
      </w:r>
      <w:r>
        <w:rPr>
          <w:rFonts w:ascii="David" w:cs="David" w:eastAsia="David" w:hAnsi="David"/>
          <w:i/>
          <w:iCs/>
          <w:color w:val="7F7F7F"/>
          <w:sz w:val="20"/>
          <w:szCs w:val="20"/>
          <w:rtl/>
        </w:rPr>
        <w:t xml:space="preserve">[דרוש מקור: אימות זמינותה של סדרה שנתית רציפה וברת‑השוואה של האמון במשטרה בפילוח לפי מידת דתיות (ובפרט קטגוריית "חרדים") לכל שנות המחקר. אם פילוח כזה אינו זמין לכל השנים, יש להסתמך על שאלת האמון במשטרה שבסקר הביטחון האישי עצמו, המאפשרת קישור ברמת הפרט בין אמון לבין דיווח]</w:t>
      </w:r>
    </w:p>
    <w:p>
      <w:pPr>
        <w:bidi/>
        <w:spacing w:after="160" w:line="360"/>
        <w:jc w:val="both"/>
      </w:pPr>
      <w:r>
        <w:rPr>
          <w:rFonts w:ascii="David" w:cs="David" w:eastAsia="David" w:hAnsi="David"/>
          <w:rtl/>
        </w:rPr>
        <w:t xml:space="preserve">נתוני הרווחה (פינקלשטיין, 2021) ישמשו כמקור משלים לתיאור המגמה בפניות לגורמים פורמליים שאינם המשטרה, ולא כמדד לדיווח למשטרה.</w:t>
      </w:r>
    </w:p>
    <w:p>
      <w:pPr>
        <w:bidi/>
        <w:spacing w:after="140" w:before="260" w:line="320"/>
        <w:jc w:val="right"/>
      </w:pPr>
      <w:r>
        <w:rPr>
          <w:rFonts w:ascii="David" w:cs="David" w:eastAsia="David" w:hAnsi="David"/>
          <w:b/>
          <w:bCs/>
          <w:sz w:val="26"/>
          <w:szCs w:val="26"/>
          <w:rtl/>
        </w:rPr>
        <w:t xml:space="preserve">ב.3 המשתנים</w:t>
      </w:r>
    </w:p>
    <w:p>
      <w:pPr>
        <w:pStyle w:val="ListParagraph"/>
        <w:numPr>
          <w:ilvl w:val="0"/>
          <w:numId w:val="2"/>
        </w:numPr>
        <w:bidi/>
        <w:spacing w:after="100" w:line="340"/>
        <w:jc w:val="both"/>
      </w:pPr>
      <w:r>
        <w:rPr>
          <w:rFonts w:ascii="David" w:cs="David" w:eastAsia="David" w:hAnsi="David"/>
          <w:rtl/>
        </w:rPr>
        <w:t xml:space="preserve">המשתנה הבלתי תלוי: רמת האמון של המשיב במשטרה.</w:t>
      </w:r>
    </w:p>
    <w:p>
      <w:pPr>
        <w:pStyle w:val="ListParagraph"/>
        <w:numPr>
          <w:ilvl w:val="0"/>
          <w:numId w:val="2"/>
        </w:numPr>
        <w:bidi/>
        <w:spacing w:after="100" w:line="340"/>
        <w:jc w:val="both"/>
      </w:pPr>
      <w:r>
        <w:rPr>
          <w:rFonts w:ascii="David" w:cs="David" w:eastAsia="David" w:hAnsi="David"/>
          <w:rtl/>
        </w:rPr>
        <w:t xml:space="preserve">המשתנה התלוי: דיווח הקורבן למשטרה. ברמת הפרט – משתנה דיכוטומי המציין אם הקורבן דיווח למשטרה על היפגעותו. ברמה המצרפית – שיעור הדיווח, כלומר החלק היחסי של הקורבנות שדיווחו למשטרה מתוך כלל הקורבנות שדיווחו על היפגעות בסקר. </w:t>
      </w:r>
      <w:r>
        <w:rPr>
          <w:rFonts w:ascii="David" w:cs="David" w:eastAsia="David" w:hAnsi="David"/>
          <w:i/>
          <w:iCs/>
          <w:color w:val="7F7F7F"/>
          <w:sz w:val="20"/>
          <w:szCs w:val="20"/>
          <w:rtl/>
        </w:rPr>
        <w:t xml:space="preserve">[שינוי לפי הערה 3: בגרסה הקודמת הוגדר המשתנה התלוי כ"החלק היחסי של עבירות המין שדווחו מתוך סך עבירות המין". ההגדרה תוקנה כך שיחידת הניתוח היא הקורבן ולא העבירה, בהתאם לשאלת המחקר]</w:t>
      </w:r>
    </w:p>
    <w:p>
      <w:pPr>
        <w:pStyle w:val="ListParagraph"/>
        <w:numPr>
          <w:ilvl w:val="0"/>
          <w:numId w:val="2"/>
        </w:numPr>
        <w:bidi/>
        <w:spacing w:after="100" w:line="340"/>
        <w:jc w:val="both"/>
      </w:pPr>
      <w:r>
        <w:rPr>
          <w:rFonts w:ascii="David" w:cs="David" w:eastAsia="David" w:hAnsi="David"/>
          <w:rtl/>
        </w:rPr>
        <w:t xml:space="preserve">משתני רקע ובקרה ברמת הפרט: מין, גיל, סוג העבירה, אזור מגורים ומידת דתיות.</w:t>
      </w:r>
    </w:p>
    <w:p>
      <w:pPr>
        <w:bidi/>
        <w:spacing w:after="140" w:before="260" w:line="320"/>
        <w:jc w:val="right"/>
      </w:pPr>
      <w:r>
        <w:rPr>
          <w:rFonts w:ascii="David" w:cs="David" w:eastAsia="David" w:hAnsi="David"/>
          <w:b/>
          <w:bCs/>
          <w:sz w:val="26"/>
          <w:szCs w:val="26"/>
          <w:rtl/>
        </w:rPr>
        <w:t xml:space="preserve">ב.4 שיטת הניתוח והספק סטטיסטי</w:t>
      </w:r>
    </w:p>
    <w:p>
      <w:pPr>
        <w:bidi/>
        <w:spacing w:after="160" w:line="360"/>
        <w:jc w:val="both"/>
      </w:pPr>
      <w:r>
        <w:rPr>
          <w:rFonts w:ascii="David" w:cs="David" w:eastAsia="David" w:hAnsi="David"/>
          <w:i/>
          <w:iCs/>
          <w:color w:val="7F7F7F"/>
          <w:sz w:val="20"/>
          <w:szCs w:val="20"/>
          <w:rtl/>
        </w:rPr>
        <w:t xml:space="preserve">[שינוי לפי הערה 4: זהו התיקון המרכזי במתודולוגיה]</w:t>
      </w:r>
    </w:p>
    <w:p>
      <w:pPr>
        <w:bidi/>
        <w:spacing w:after="160" w:line="360"/>
        <w:jc w:val="both"/>
      </w:pPr>
      <w:r>
        <w:rPr>
          <w:rFonts w:ascii="David" w:cs="David" w:eastAsia="David" w:hAnsi="David"/>
          <w:rtl/>
        </w:rPr>
        <w:t xml:space="preserve">בגרסה הקודמת של ההצעה תוכנן ניתוח מצרפי: סדרה שנתית של רמת האמון מול סדרה שנתית של שיעור הדיווח לשנים 2005–2025, ועליה מבחן מתאם פירסון ורגרסיה ליניארית. בבדיקה נמצאו שתי בעיות שחייבו שינוי.</w:t>
      </w:r>
    </w:p>
    <w:p>
      <w:pPr>
        <w:bidi/>
        <w:spacing w:after="160" w:line="360"/>
        <w:jc w:val="both"/>
      </w:pPr>
      <w:r>
        <w:rPr>
          <w:rFonts w:ascii="David" w:cs="David" w:eastAsia="David" w:hAnsi="David"/>
          <w:rtl/>
        </w:rPr>
        <w:t xml:space="preserve">הבעיה הראשונה היא זמינות הנתונים. סקר הביטחון האישי מבוצע באופן שוטף רק משנת 2014 (הלשכה המרכזית לסטטיסטיקה, 2024), ולכן טווח השנים 2005–2025 אינו בר‑מימוש. מספר התצפיות השנתיות הזמינות בפועל עומד על כ‑10 עד 12, ולא על 21.</w:t>
      </w:r>
    </w:p>
    <w:p>
      <w:pPr>
        <w:bidi/>
        <w:spacing w:after="160" w:line="360"/>
        <w:jc w:val="both"/>
      </w:pPr>
      <w:r>
        <w:rPr>
          <w:rFonts w:ascii="David" w:cs="David" w:eastAsia="David" w:hAnsi="David"/>
          <w:rtl/>
        </w:rPr>
        <w:t xml:space="preserve">הבעיה השנייה היא הספק סטטיסטי. חישוב גודל מדגם למבחן מתאם פירסון, ברמת מובהקות של α=0.05 (דו‑זנבי) ובהספק מקובל של 0.80, מניב את הדרישות הבאות:</w:t>
      </w:r>
    </w:p>
    <w:p>
      <w:pPr>
        <w:pStyle w:val="ListParagraph"/>
        <w:numPr>
          <w:ilvl w:val="0"/>
          <w:numId w:val="2"/>
        </w:numPr>
        <w:bidi/>
        <w:spacing w:after="100" w:line="340"/>
        <w:jc w:val="both"/>
      </w:pPr>
      <w:r>
        <w:rPr>
          <w:rFonts w:ascii="David" w:cs="David" w:eastAsia="David" w:hAnsi="David"/>
          <w:rtl/>
        </w:rPr>
        <w:t xml:space="preserve">לאפקט קטן (r=0.30) נדרשות 85 תצפיות.</w:t>
      </w:r>
    </w:p>
    <w:p>
      <w:pPr>
        <w:pStyle w:val="ListParagraph"/>
        <w:numPr>
          <w:ilvl w:val="0"/>
          <w:numId w:val="2"/>
        </w:numPr>
        <w:bidi/>
        <w:spacing w:after="100" w:line="340"/>
        <w:jc w:val="both"/>
      </w:pPr>
      <w:r>
        <w:rPr>
          <w:rFonts w:ascii="David" w:cs="David" w:eastAsia="David" w:hAnsi="David"/>
          <w:rtl/>
        </w:rPr>
        <w:t xml:space="preserve">לאפקט בינוני (r=0.50) נדרשות 30 תצפיות.</w:t>
      </w:r>
    </w:p>
    <w:p>
      <w:pPr>
        <w:pStyle w:val="ListParagraph"/>
        <w:numPr>
          <w:ilvl w:val="0"/>
          <w:numId w:val="2"/>
        </w:numPr>
        <w:bidi/>
        <w:spacing w:after="100" w:line="340"/>
        <w:jc w:val="both"/>
      </w:pPr>
      <w:r>
        <w:rPr>
          <w:rFonts w:ascii="David" w:cs="David" w:eastAsia="David" w:hAnsi="David"/>
          <w:rtl/>
        </w:rPr>
        <w:t xml:space="preserve">לאפקט גדול (r=0.70) נדרשות 14 תצפיות.</w:t>
      </w:r>
    </w:p>
    <w:p>
      <w:pPr>
        <w:bidi/>
        <w:spacing w:after="160" w:line="360"/>
        <w:jc w:val="both"/>
      </w:pPr>
      <w:r>
        <w:rPr>
          <w:rFonts w:ascii="David" w:cs="David" w:eastAsia="David" w:hAnsi="David"/>
          <w:rtl/>
        </w:rPr>
        <w:t xml:space="preserve">כלומר, אף מספר התצפיות שתוכנן במקור (21) אינו מספיק לזיהוי אפקט קטן או בינוני, ומספר התצפיות הזמין בפועל (10–12) אינו מספיק גם לאפקט גדול. בנתונים של 12 שנים, ההספק לגילוי מתאם של r=0.50 עומד על 0.38 בלבד, וגודל האפקט המזערי בר‑הגילוי בהספק 0.80 הוא r=0.73. יתרה מזו, ערך המתאם הקריטי למובהקות ב‑12 תצפיות הוא r=0.58 – כלומר כל מתאם חלש מכך לא יימצא מובהק גם אם הוא קיים באוכלוסייה.</w:t>
      </w:r>
    </w:p>
    <w:p>
      <w:pPr>
        <w:bidi/>
        <w:spacing w:after="160" w:line="360"/>
        <w:jc w:val="both"/>
      </w:pPr>
      <w:r>
        <w:rPr>
          <w:rFonts w:ascii="David" w:cs="David" w:eastAsia="David" w:hAnsi="David"/>
          <w:rtl/>
        </w:rPr>
        <w:t xml:space="preserve">בעיה שלישית, מתודולוגית, נוגעת להנחות המבחן. תצפיות שנתיות עוקבות אינן בלתי תלויות זו בזו, ושתי הסדרות צפויות להכיל מגמה. מתאם בין שתי סדרות עתיות מגמתיות עלול להיות מתאם מדומה (spurious) המשקף מגמה משותפת ולא קשר של ממש. נוסף על כך, מתאם ברמה המצרפית אינו מעיד בהכרח על קשר ברמת הפרט, ומסקנה כזו תהיה כשל אקולוגי.</w:t>
      </w:r>
    </w:p>
    <w:p>
      <w:pPr>
        <w:bidi/>
        <w:spacing w:after="160" w:line="360"/>
        <w:jc w:val="both"/>
      </w:pPr>
      <w:r>
        <w:rPr>
          <w:rFonts w:ascii="David" w:cs="David" w:eastAsia="David" w:hAnsi="David"/>
          <w:b/>
          <w:bCs/>
          <w:rtl/>
        </w:rPr>
        <w:t xml:space="preserve">לאור זאת, שיטת הניתוח משתנה כלהלן:</w:t>
      </w:r>
    </w:p>
    <w:p>
      <w:pPr>
        <w:pStyle w:val="ListParagraph"/>
        <w:numPr>
          <w:ilvl w:val="0"/>
          <w:numId w:val="2"/>
        </w:numPr>
        <w:bidi/>
        <w:spacing w:after="100" w:line="340"/>
        <w:jc w:val="both"/>
      </w:pPr>
      <w:r>
        <w:rPr>
          <w:rFonts w:ascii="David" w:cs="David" w:eastAsia="David" w:hAnsi="David"/>
          <w:rtl/>
        </w:rPr>
        <w:t xml:space="preserve">ניתוח ראשי – ברמת הפרט. אשתמש בקובץ למחקר פומבי (PUF) של סקר הביטחון האישי, ובמידת הצורך בחדר המחקר של הלשכה המרכזית לסטטיסטיקה, ואנתח את הנתונים ברמת המשיב. אוכלוסיית הניתוח היא המשיבים שדיווחו בסקר על היפגעות מעבירה, והמשתנה התלוי הוא אם דיווחו עליה למשטרה. הניתוח ייעשה ברגרסיה לוגיסטית, עם האמון במשטרה כמנבא ועם משתני הבקרה שפורטו בסעיף ב.3. מעבר זה מגדיל את מספר התצפיות מעשרות בודדות לאלפים, פותר את בעיית ההספק, נמנע מהכשל האקולוגי ומאפשר בקרה על משתנים מתערבים.</w:t>
      </w:r>
    </w:p>
    <w:p>
      <w:pPr>
        <w:pStyle w:val="ListParagraph"/>
        <w:numPr>
          <w:ilvl w:val="0"/>
          <w:numId w:val="2"/>
        </w:numPr>
        <w:bidi/>
        <w:spacing w:after="100" w:line="340"/>
        <w:jc w:val="both"/>
      </w:pPr>
      <w:r>
        <w:rPr>
          <w:rFonts w:ascii="David" w:cs="David" w:eastAsia="David" w:hAnsi="David"/>
          <w:rtl/>
        </w:rPr>
        <w:t xml:space="preserve">ניתוח משלים – ברמה המצרפית. הסדרות השנתיות של האמון ושל שיעור הדיווח יוצגו גרפית כמגמה. מאחר שמספר התצפיות קטן והנחות פירסון אינן מתקיימות, אשתמש במתאם דרגות של ספירמן (Spearman’s rho), שאינו מניח נורמליות ורגיש פחות לחריגים, ואציג את הממצא כמגמה תיאורית בלבד ולא כממצא מובהק סטטיסטית. לחלופין, ניתן להציג את הקשר באמצעות רווחי סמך ולוותר על מבחן המובהקות.</w:t>
      </w:r>
    </w:p>
    <w:p>
      <w:pPr>
        <w:pStyle w:val="ListParagraph"/>
        <w:numPr>
          <w:ilvl w:val="0"/>
          <w:numId w:val="2"/>
        </w:numPr>
        <w:bidi/>
        <w:spacing w:after="100" w:line="340"/>
        <w:jc w:val="both"/>
      </w:pPr>
      <w:r>
        <w:rPr>
          <w:rFonts w:ascii="David" w:cs="David" w:eastAsia="David" w:hAnsi="David"/>
          <w:rtl/>
        </w:rPr>
        <w:t xml:space="preserve">הרגרסיה הליניארית שתוכננה במקור לחיזוי כמות הדיווחים בעתיד יורדת מן ההצעה. חיזוי מסדרה בת 10–12 תצפיות אינו יציב, ואין בו כדי לתמוך במסקנות. </w:t>
      </w:r>
      <w:r>
        <w:rPr>
          <w:rFonts w:ascii="David" w:cs="David" w:eastAsia="David" w:hAnsi="David"/>
          <w:i/>
          <w:iCs/>
          <w:color w:val="7F7F7F"/>
          <w:sz w:val="20"/>
          <w:szCs w:val="20"/>
          <w:rtl/>
        </w:rPr>
        <w:t xml:space="preserve">[חלק זה הושמט בעקבות הערה 4]</w:t>
      </w:r>
    </w:p>
    <w:p>
      <w:pPr>
        <w:bidi/>
        <w:spacing w:after="140" w:before="260" w:line="320"/>
        <w:jc w:val="right"/>
      </w:pPr>
      <w:r>
        <w:rPr>
          <w:rFonts w:ascii="David" w:cs="David" w:eastAsia="David" w:hAnsi="David"/>
          <w:b/>
          <w:bCs/>
          <w:sz w:val="26"/>
          <w:szCs w:val="26"/>
          <w:rtl/>
        </w:rPr>
        <w:t xml:space="preserve">ב.5 מגבלות המחקר</w:t>
      </w:r>
    </w:p>
    <w:p>
      <w:pPr>
        <w:pStyle w:val="ListParagraph"/>
        <w:numPr>
          <w:ilvl w:val="0"/>
          <w:numId w:val="2"/>
        </w:numPr>
        <w:bidi/>
        <w:spacing w:after="100" w:line="340"/>
        <w:jc w:val="both"/>
      </w:pPr>
      <w:r>
        <w:rPr>
          <w:rFonts w:ascii="David" w:cs="David" w:eastAsia="David" w:hAnsi="David"/>
          <w:rtl/>
        </w:rPr>
        <w:t xml:space="preserve">גודל תת‑המדגם החרדי. במדגם שנתי של כ‑5,000 משיבים, מספר המשיבים החרדים שדיווחו על היפגעות מעבירת מין צפוי להיות קטן מאוד. הלשכה המרכזית לסטטיסטיקה נמנעת מפרסום אומדנים שטעות הדגימה היחסית בהם עולה על 30%, ובפועל נמנעה מלפרסם נתונים לגבי בני ברק בחלק מהשנים מסיבה זו (הלשכה המרכזית לסטטיסטיקה, 2024). ייתכן אפוא שלא ניתן יהיה לאמוד שיעורי דיווח שנתיים על עבירות מין בקרב חרדים ברמת דיוק מספקת. במקרה כזה יידרש איחוד של מספר שנות סקר לתקופה אחת, כפי שנוהגת הלשכה עצמה, על חשבון הרזולוציה השנתית.</w:t>
      </w:r>
    </w:p>
    <w:p>
      <w:pPr>
        <w:pStyle w:val="ListParagraph"/>
        <w:numPr>
          <w:ilvl w:val="0"/>
          <w:numId w:val="2"/>
        </w:numPr>
        <w:bidi/>
        <w:spacing w:after="100" w:line="340"/>
        <w:jc w:val="both"/>
      </w:pPr>
      <w:r>
        <w:rPr>
          <w:rFonts w:ascii="David" w:cs="David" w:eastAsia="David" w:hAnsi="David"/>
          <w:rtl/>
        </w:rPr>
        <w:t xml:space="preserve">הגדרת האוכלוסייה החרדית מבוססת על הגדרה עצמית של מידת דתיות בסקר, ולכן היא נתונה לשונות בין משיבים.</w:t>
      </w:r>
    </w:p>
    <w:p>
      <w:pPr>
        <w:pStyle w:val="ListParagraph"/>
        <w:numPr>
          <w:ilvl w:val="0"/>
          <w:numId w:val="2"/>
        </w:numPr>
        <w:bidi/>
        <w:spacing w:after="100" w:line="340"/>
        <w:jc w:val="both"/>
      </w:pPr>
      <w:r>
        <w:rPr>
          <w:rFonts w:ascii="David" w:cs="David" w:eastAsia="David" w:hAnsi="David"/>
          <w:rtl/>
        </w:rPr>
        <w:t xml:space="preserve">המחקר מתאמי ואינו מאפשר הסקה סיבתית. גם אם יימצא קשר, כיוונו אינו נקבע: ייתכן שאמון מוביל לדיווח, וייתכן שחוויית דיווח חיובית מגבירה אמון.</w:t>
      </w:r>
    </w:p>
    <w:p>
      <w:pPr>
        <w:pStyle w:val="ListParagraph"/>
        <w:numPr>
          <w:ilvl w:val="0"/>
          <w:numId w:val="2"/>
        </w:numPr>
        <w:bidi/>
        <w:spacing w:after="100" w:line="340"/>
        <w:jc w:val="both"/>
      </w:pPr>
      <w:r>
        <w:rPr>
          <w:rFonts w:ascii="David" w:cs="David" w:eastAsia="David" w:hAnsi="David"/>
          <w:rtl/>
        </w:rPr>
        <w:t xml:space="preserve">הסקר אינו כולל אוכלוסייה מתחת לגיל 20, ולכן פגיעות בילדים ובנוער – שבהן מתמקד חלק ניכר מן הספרות על החברה החרדית – אינן מיוצגות בו במישרין.</w:t>
      </w:r>
    </w:p>
    <w:p>
      <w:pPr>
        <w:bidi/>
        <w:spacing w:after="140" w:before="320" w:line="320"/>
        <w:jc w:val="right"/>
      </w:pPr>
      <w:r>
        <w:rPr>
          <w:rFonts w:ascii="David" w:cs="David" w:eastAsia="David" w:hAnsi="David"/>
          <w:b/>
          <w:bCs/>
          <w:sz w:val="32"/>
          <w:szCs w:val="32"/>
          <w:u w:val="single"/>
          <w:rtl/>
        </w:rPr>
        <w:t xml:space="preserve">ג. ביבליוגרפיה</w:t>
      </w:r>
    </w:p>
    <w:p>
      <w:pPr>
        <w:bidi/>
        <w:spacing w:after="120" w:line="300"/>
        <w:ind w:start="720" w:hanging="720"/>
        <w:jc w:val="right"/>
      </w:pPr>
      <w:r>
        <w:rPr>
          <w:rFonts w:ascii="David" w:cs="David" w:eastAsia="David" w:hAnsi="David"/>
          <w:sz w:val="22"/>
          <w:szCs w:val="22"/>
          <w:rtl/>
        </w:rPr>
        <w:t xml:space="preserve">הלשכה המרכזית לסטטיסטיקה. (2024, 3 בספטמבר). עשור לסקר ביטחון אישי – ממצאים רב-שנתיים (2014–2023) (הודעה לתקשורת 275/2024). https://www.cbs.gov.il/he/mediarelease/DocLib/2024/275/18_24_275b.pdf</w:t>
      </w:r>
    </w:p>
    <w:p>
      <w:pPr>
        <w:bidi/>
        <w:spacing w:after="120" w:line="300"/>
        <w:ind w:start="720" w:hanging="720"/>
        <w:jc w:val="right"/>
      </w:pPr>
      <w:r>
        <w:rPr>
          <w:rFonts w:ascii="David" w:cs="David" w:eastAsia="David" w:hAnsi="David"/>
          <w:sz w:val="22"/>
          <w:szCs w:val="22"/>
          <w:rtl/>
        </w:rPr>
        <w:t xml:space="preserve">פינקלשטיין, א’. (2021, 7 בדצמבר). הודעה לעיתונות: זינוק במספר המטופלים במחלקות הרווחה ברשויות החרדיות בשל פגיעות מיניות. המכון הישראלי לדמוקרטיה. https://www.idi.org.il/articles/36764</w:t>
      </w:r>
    </w:p>
    <w:p>
      <w:pPr>
        <w:bidi w:val="false"/>
        <w:spacing w:after="120" w:line="300"/>
        <w:ind w:start="720" w:hanging="720"/>
        <w:jc w:val="left"/>
      </w:pPr>
      <w:r>
        <w:rPr>
          <w:rFonts w:ascii="David" w:cs="David" w:eastAsia="David" w:hAnsi="David"/>
          <w:sz w:val="22"/>
          <w:szCs w:val="22"/>
          <w:rtl w:val="false"/>
        </w:rPr>
        <w:t xml:space="preserve">Akariya, S., Hasisi, B., &amp; Factor, R. (2025). Sharing the space, living apart: Views on police legitimacy and willingness to assist in crime prevention among Arabs in mixed Israeli cities. Race and Justice. https://doi.org/10.1177/21533687251397629</w:t>
      </w:r>
    </w:p>
    <w:p>
      <w:pPr>
        <w:bidi w:val="false"/>
        <w:spacing w:after="120" w:line="300"/>
        <w:ind w:start="720" w:hanging="720"/>
        <w:jc w:val="left"/>
      </w:pPr>
      <w:r>
        <w:rPr>
          <w:rFonts w:ascii="David" w:cs="David" w:eastAsia="David" w:hAnsi="David"/>
          <w:sz w:val="22"/>
          <w:szCs w:val="22"/>
          <w:rtl w:val="false"/>
        </w:rPr>
        <w:t xml:space="preserve">Alfandari, R., Enosh, G., &amp; Rechnitzer, H. (2021). To split or include? Child sexual abuse mandate reporting in the ultra-orthodox Jewish community in Israel. Children and Youth Services Review, 120, 105759. https://doi.org/10.1016/j.childyouth.2020.105759</w:t>
      </w:r>
    </w:p>
    <w:p>
      <w:pPr>
        <w:bidi w:val="false"/>
        <w:spacing w:after="120" w:line="300"/>
        <w:ind w:start="720" w:hanging="720"/>
        <w:jc w:val="left"/>
      </w:pPr>
      <w:r>
        <w:rPr>
          <w:rFonts w:ascii="David" w:cs="David" w:eastAsia="David" w:hAnsi="David"/>
          <w:sz w:val="22"/>
          <w:szCs w:val="22"/>
          <w:rtl w:val="false"/>
        </w:rPr>
        <w:t xml:space="preserve">Baumer, E. P. (2002). Neighborhood disadvantage and police notification by victims of violence. Criminology, 40(3), 579–616. https://doi.org/10.1111/j.1745-9125.2002.tb00967.x</w:t>
      </w:r>
    </w:p>
    <w:p>
      <w:pPr>
        <w:bidi w:val="false"/>
        <w:spacing w:after="120" w:line="300"/>
        <w:ind w:start="720" w:hanging="720"/>
        <w:jc w:val="left"/>
      </w:pPr>
      <w:r>
        <w:rPr>
          <w:rFonts w:ascii="David" w:cs="David" w:eastAsia="David" w:hAnsi="David"/>
          <w:sz w:val="22"/>
          <w:szCs w:val="22"/>
          <w:rtl w:val="false"/>
        </w:rPr>
        <w:t xml:space="preserve">Biderman, A. D., &amp; Reiss, A. J., Jr. (1967). On exploring the "dark figure" of crime. The Annals of the American Academy of Political and Social Science, 374(1), 1–15.</w:t>
      </w:r>
    </w:p>
    <w:p>
      <w:pPr>
        <w:bidi w:val="false"/>
        <w:spacing w:after="120" w:line="300"/>
        <w:ind w:start="720" w:hanging="720"/>
        <w:jc w:val="left"/>
      </w:pPr>
      <w:r>
        <w:rPr>
          <w:rFonts w:ascii="David" w:cs="David" w:eastAsia="David" w:hAnsi="David"/>
          <w:sz w:val="22"/>
          <w:szCs w:val="22"/>
          <w:rtl w:val="false"/>
        </w:rPr>
        <w:t xml:space="preserve">Felson, R. B., Messner, S. F., Hoskin, A. W., &amp; Deane, G. (2002). Reasons for reporting and not reporting domestic violence to the police. Criminology, 40(3), 617–648. https://doi.org/10.1111/j.1745-9125.2002.tb00968.x</w:t>
      </w:r>
    </w:p>
    <w:p>
      <w:pPr>
        <w:bidi w:val="false"/>
        <w:spacing w:after="120" w:line="300"/>
        <w:ind w:start="720" w:hanging="720"/>
        <w:jc w:val="left"/>
      </w:pPr>
      <w:r>
        <w:rPr>
          <w:rFonts w:ascii="David" w:cs="David" w:eastAsia="David" w:hAnsi="David"/>
          <w:sz w:val="22"/>
          <w:szCs w:val="22"/>
          <w:rtl w:val="false"/>
        </w:rPr>
        <w:t xml:space="preserve">Fisher, B. S., Daigle, L. E., Cullen, F. T., &amp; Turner, M. G. (2003). Reporting sexual victimization to the police and others: Results from a national-level study of college women. Criminal Justice and Behavior, 30(1), 6–38. https://doi.org/10.1177/0093854802239161</w:t>
      </w:r>
    </w:p>
    <w:p>
      <w:pPr>
        <w:bidi w:val="false"/>
        <w:spacing w:after="120" w:line="300"/>
        <w:ind w:start="720" w:hanging="720"/>
        <w:jc w:val="left"/>
      </w:pPr>
      <w:r>
        <w:rPr>
          <w:rFonts w:ascii="David" w:cs="David" w:eastAsia="David" w:hAnsi="David"/>
          <w:sz w:val="22"/>
          <w:szCs w:val="22"/>
          <w:rtl w:val="false"/>
        </w:rPr>
        <w:t xml:space="preserve">Greenberg, M. S., &amp; Ruback, R. B. (1992). After the crime: Victim decision making. Plenum Press. https://doi.org/10.1007/978-1-4615-3334-4</w:t>
      </w:r>
    </w:p>
    <w:p>
      <w:pPr>
        <w:bidi w:val="false"/>
        <w:spacing w:after="120" w:line="300"/>
        <w:ind w:start="720" w:hanging="720"/>
        <w:jc w:val="left"/>
      </w:pPr>
      <w:r>
        <w:rPr>
          <w:rFonts w:ascii="David" w:cs="David" w:eastAsia="David" w:hAnsi="David"/>
          <w:sz w:val="22"/>
          <w:szCs w:val="22"/>
          <w:rtl w:val="false"/>
        </w:rPr>
        <w:t xml:space="preserve">Hasisi, B. (2008). Police, politics, and culture in a deeply divided society. Journal of Criminal Law and Criminology, 98(3), 1119–1145.</w:t>
      </w:r>
    </w:p>
    <w:p>
      <w:pPr>
        <w:bidi w:val="false"/>
        <w:spacing w:after="120" w:line="300"/>
        <w:ind w:start="720" w:hanging="720"/>
        <w:jc w:val="left"/>
      </w:pPr>
      <w:r>
        <w:rPr>
          <w:rFonts w:ascii="David" w:cs="David" w:eastAsia="David" w:hAnsi="David"/>
          <w:sz w:val="22"/>
          <w:szCs w:val="22"/>
          <w:rtl w:val="false"/>
        </w:rPr>
        <w:t xml:space="preserve">Hasisi, B., &amp; Weitzer, R. (2007). Police relations with Arabs and Jews in Israel. The British Journal of Criminology, 47(5), 728–745.</w:t>
      </w:r>
    </w:p>
    <w:p>
      <w:pPr>
        <w:bidi w:val="false"/>
        <w:spacing w:after="120" w:line="300"/>
        <w:ind w:start="720" w:hanging="720"/>
        <w:jc w:val="left"/>
      </w:pPr>
      <w:r>
        <w:rPr>
          <w:rFonts w:ascii="David" w:cs="David" w:eastAsia="David" w:hAnsi="David"/>
          <w:sz w:val="22"/>
          <w:szCs w:val="22"/>
          <w:rtl w:val="false"/>
        </w:rPr>
        <w:t xml:space="preserve">Katzenstein, D., &amp; Fontes, L. A. (2017). Twice silenced: The underreporting of child sexual abuse in Orthodox Jewish communities. Journal of Child Sexual Abuse, 26(6), 752–767. https://doi.org/10.1080/10538712.2017.1336505</w:t>
      </w:r>
    </w:p>
    <w:p>
      <w:pPr>
        <w:bidi w:val="false"/>
        <w:spacing w:after="120" w:line="300"/>
        <w:ind w:start="720" w:hanging="720"/>
        <w:jc w:val="left"/>
      </w:pPr>
      <w:r>
        <w:rPr>
          <w:rFonts w:ascii="David" w:cs="David" w:eastAsia="David" w:hAnsi="David"/>
          <w:sz w:val="22"/>
          <w:szCs w:val="22"/>
          <w:rtl w:val="false"/>
        </w:rPr>
        <w:t xml:space="preserve">Kirk, D. S., &amp; Papachristos, A. V. (2011). Cultural mechanisms and the persistence of neighborhood violence. American Journal of Sociology, 116(4), 1190–1233. https://doi.org/10.1086/655754</w:t>
      </w:r>
    </w:p>
    <w:p>
      <w:pPr>
        <w:bidi w:val="false"/>
        <w:spacing w:after="120" w:line="300"/>
        <w:ind w:start="720" w:hanging="720"/>
        <w:jc w:val="left"/>
      </w:pPr>
      <w:r>
        <w:rPr>
          <w:rFonts w:ascii="David" w:cs="David" w:eastAsia="David" w:hAnsi="David"/>
          <w:sz w:val="22"/>
          <w:szCs w:val="22"/>
          <w:rtl w:val="false"/>
        </w:rPr>
        <w:t xml:space="preserve">Kravel-Tovi, M. (2024). Unorthodox alliances at the margins of the state: Haredi Jews, the Israeli state, and the collaborative battle against sexual violence. American Behavioral Scientist. https://doi.org/10.1177/00027642241260378</w:t>
      </w:r>
    </w:p>
    <w:p>
      <w:pPr>
        <w:bidi w:val="false"/>
        <w:spacing w:after="120" w:line="300"/>
        <w:ind w:start="720" w:hanging="720"/>
        <w:jc w:val="left"/>
      </w:pPr>
      <w:r>
        <w:rPr>
          <w:rFonts w:ascii="David" w:cs="David" w:eastAsia="David" w:hAnsi="David"/>
          <w:sz w:val="22"/>
          <w:szCs w:val="22"/>
          <w:rtl w:val="false"/>
        </w:rPr>
        <w:t xml:space="preserve">Lusky-Weisrose, E., Fleishman, T., &amp; Tener, D. (2022). "A little bit of light dispels a lot of darkness": Online disclosure of child sexual abuse by authority figures in the ultra-Orthodox Jewish community in Israel. Journal of Interpersonal Violence, 37(19–20). https://doi.org/10.1177/08862605211028370</w:t>
      </w:r>
    </w:p>
    <w:p>
      <w:pPr>
        <w:bidi w:val="false"/>
        <w:spacing w:after="120" w:line="300"/>
        <w:ind w:start="720" w:hanging="720"/>
        <w:jc w:val="left"/>
      </w:pPr>
      <w:r>
        <w:rPr>
          <w:rFonts w:ascii="David" w:cs="David" w:eastAsia="David" w:hAnsi="David"/>
          <w:sz w:val="22"/>
          <w:szCs w:val="22"/>
          <w:rtl w:val="false"/>
        </w:rPr>
        <w:t xml:space="preserve">Lusky-Weisrose, E., Marmor, A., &amp; Tener, D. (2021). Sexual abuse in the Orthodox Jewish community: A literature review. Trauma, Violence, &amp; Abuse, 22(5), 1086–1103. https://doi.org/10.1177/1524838020906548</w:t>
      </w:r>
    </w:p>
    <w:p>
      <w:pPr>
        <w:bidi w:val="false"/>
        <w:spacing w:after="120" w:line="300"/>
        <w:ind w:start="720" w:hanging="720"/>
        <w:jc w:val="left"/>
      </w:pPr>
      <w:r>
        <w:rPr>
          <w:rFonts w:ascii="David" w:cs="David" w:eastAsia="David" w:hAnsi="David"/>
          <w:sz w:val="22"/>
          <w:szCs w:val="22"/>
          <w:rtl w:val="false"/>
        </w:rPr>
        <w:t xml:space="preserve">Skogan, W. G. (1977). Dimensions of the dark figure of unreported crime. Crime &amp; Delinquency, 23(1), 41–50. https://doi.org/10.1177/001112877702300104</w:t>
      </w:r>
    </w:p>
    <w:p>
      <w:pPr>
        <w:bidi w:val="false"/>
        <w:spacing w:after="120" w:line="300"/>
        <w:ind w:start="720" w:hanging="720"/>
        <w:jc w:val="left"/>
      </w:pPr>
      <w:r>
        <w:rPr>
          <w:rFonts w:ascii="David" w:cs="David" w:eastAsia="David" w:hAnsi="David"/>
          <w:sz w:val="22"/>
          <w:szCs w:val="22"/>
          <w:rtl w:val="false"/>
        </w:rPr>
        <w:t xml:space="preserve">Skogan, W. G. (1984). Reporting crimes to the police: The status of world research. Journal of Research in Crime and Delinquency, 21(2), 113–137. https://doi.org/10.1177/0022427884021002003</w:t>
      </w:r>
    </w:p>
    <w:p>
      <w:pPr>
        <w:bidi w:val="false"/>
        <w:spacing w:after="120" w:line="300"/>
        <w:ind w:start="720" w:hanging="720"/>
        <w:jc w:val="left"/>
      </w:pPr>
      <w:r>
        <w:rPr>
          <w:rFonts w:ascii="David" w:cs="David" w:eastAsia="David" w:hAnsi="David"/>
          <w:sz w:val="22"/>
          <w:szCs w:val="22"/>
          <w:rtl w:val="false"/>
        </w:rPr>
        <w:t xml:space="preserve">Sunshine, J., &amp; Tyler, T. R. (2003). The role of procedural justice and legitimacy in shaping public support for policing. Law &amp; Society Review, 37(3), 513–547. https://doi.org/10.1111/1540-5893.3703002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2026-07-28T18:25:23.505Z</dcterms:created>
  <dcterms:modified xsi:type="dcterms:W3CDTF">2026-07-28T18:25:23.505Z</dcterms:modified>
</cp:coreProperties>
</file>

<file path=docProps/custom.xml><?xml version="1.0" encoding="utf-8"?>
<Properties xmlns="http://schemas.openxmlformats.org/officeDocument/2006/custom-properties" xmlns:vt="http://schemas.openxmlformats.org/officeDocument/2006/docPropsVTypes"/>
</file>