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3c33b8ejlvrd" w:id="0"/>
      <w:bookmarkEnd w:id="0"/>
      <w:r w:rsidDel="00000000" w:rsidR="00000000" w:rsidRPr="00000000">
        <w:rPr>
          <w:b w:val="1"/>
          <w:sz w:val="34"/>
          <w:szCs w:val="34"/>
          <w:rtl w:val="0"/>
        </w:rPr>
        <w:t xml:space="preserve">Executive Summary</w:t>
      </w:r>
    </w:p>
    <w:p w:rsidR="00000000" w:rsidDel="00000000" w:rsidP="00000000" w:rsidRDefault="00000000" w:rsidRPr="00000000" w14:paraId="00000002">
      <w:pPr>
        <w:spacing w:after="240" w:before="240" w:lineRule="auto"/>
        <w:rPr/>
      </w:pPr>
      <w:r w:rsidDel="00000000" w:rsidR="00000000" w:rsidRPr="00000000">
        <w:rPr>
          <w:rtl w:val="0"/>
        </w:rPr>
        <w:t xml:space="preserve">This report presents an analysis of electricity generation data for upcoming projects, focusing on three key attributes: </w:t>
      </w:r>
      <w:r w:rsidDel="00000000" w:rsidR="00000000" w:rsidRPr="00000000">
        <w:rPr>
          <w:b w:val="1"/>
          <w:rtl w:val="0"/>
        </w:rPr>
        <w:t xml:space="preserve">Generation Type</w:t>
      </w:r>
      <w:r w:rsidDel="00000000" w:rsidR="00000000" w:rsidRPr="00000000">
        <w:rPr>
          <w:rtl w:val="0"/>
        </w:rPr>
        <w:t xml:space="preserve">, </w:t>
      </w:r>
      <w:r w:rsidDel="00000000" w:rsidR="00000000" w:rsidRPr="00000000">
        <w:rPr>
          <w:b w:val="1"/>
          <w:rtl w:val="0"/>
        </w:rPr>
        <w:t xml:space="preserve">Maximum Capacity (Max MW)</w:t>
      </w:r>
      <w:r w:rsidDel="00000000" w:rsidR="00000000" w:rsidRPr="00000000">
        <w:rPr>
          <w:rtl w:val="0"/>
        </w:rPr>
        <w:t xml:space="preserve">, and </w:t>
      </w:r>
      <w:r w:rsidDel="00000000" w:rsidR="00000000" w:rsidRPr="00000000">
        <w:rPr>
          <w:b w:val="1"/>
          <w:rtl w:val="0"/>
        </w:rPr>
        <w:t xml:space="preserve">Connection Voltage</w:t>
      </w:r>
      <w:r w:rsidDel="00000000" w:rsidR="00000000" w:rsidRPr="00000000">
        <w:rPr>
          <w:rtl w:val="0"/>
        </w:rPr>
        <w:t xml:space="preserve">. The objective is to understand the distribution of generation technologies, assess capacity trends across different types, and evaluate the voltage levels associated with these projects. The insights presented here aim to support the Planning and Connections team at Transpower in their strategic decision-making.</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e56o4avg51qe" w:id="1"/>
      <w:bookmarkEnd w:id="1"/>
      <w:r w:rsidDel="00000000" w:rsidR="00000000" w:rsidRPr="00000000">
        <w:rPr>
          <w:b w:val="1"/>
          <w:sz w:val="34"/>
          <w:szCs w:val="34"/>
          <w:rtl w:val="0"/>
        </w:rPr>
        <w:t xml:space="preserve">Data Overview</w:t>
      </w:r>
    </w:p>
    <w:p w:rsidR="00000000" w:rsidDel="00000000" w:rsidP="00000000" w:rsidRDefault="00000000" w:rsidRPr="00000000" w14:paraId="00000004">
      <w:pPr>
        <w:numPr>
          <w:ilvl w:val="0"/>
          <w:numId w:val="5"/>
        </w:numPr>
        <w:spacing w:after="0" w:afterAutospacing="0" w:before="240" w:lineRule="auto"/>
        <w:ind w:left="720" w:hanging="360"/>
      </w:pPr>
      <w:r w:rsidDel="00000000" w:rsidR="00000000" w:rsidRPr="00000000">
        <w:rPr>
          <w:b w:val="1"/>
          <w:rtl w:val="0"/>
        </w:rPr>
        <w:t xml:space="preserve">Generation Type</w:t>
      </w:r>
      <w:r w:rsidDel="00000000" w:rsidR="00000000" w:rsidRPr="00000000">
        <w:rPr>
          <w:rtl w:val="0"/>
        </w:rPr>
        <w:t xml:space="preserve"> identifies the technology used in each project (e.g., solar, wind, hydro).</w:t>
        <w:br w:type="textWrapping"/>
      </w:r>
    </w:p>
    <w:p w:rsidR="00000000" w:rsidDel="00000000" w:rsidP="00000000" w:rsidRDefault="00000000" w:rsidRPr="00000000" w14:paraId="00000005">
      <w:pPr>
        <w:numPr>
          <w:ilvl w:val="0"/>
          <w:numId w:val="5"/>
        </w:numPr>
        <w:spacing w:after="0" w:afterAutospacing="0" w:before="0" w:beforeAutospacing="0" w:lineRule="auto"/>
        <w:ind w:left="720" w:hanging="360"/>
      </w:pPr>
      <w:r w:rsidDel="00000000" w:rsidR="00000000" w:rsidRPr="00000000">
        <w:rPr>
          <w:b w:val="1"/>
          <w:rtl w:val="0"/>
        </w:rPr>
        <w:t xml:space="preserve">Max MW</w:t>
      </w:r>
      <w:r w:rsidDel="00000000" w:rsidR="00000000" w:rsidRPr="00000000">
        <w:rPr>
          <w:rtl w:val="0"/>
        </w:rPr>
        <w:t xml:space="preserve"> represents the maximum generation capacity of a project, indicating its expected contribution to the national grid.</w:t>
        <w:br w:type="textWrapping"/>
      </w:r>
    </w:p>
    <w:p w:rsidR="00000000" w:rsidDel="00000000" w:rsidP="00000000" w:rsidRDefault="00000000" w:rsidRPr="00000000" w14:paraId="00000006">
      <w:pPr>
        <w:numPr>
          <w:ilvl w:val="0"/>
          <w:numId w:val="5"/>
        </w:numPr>
        <w:spacing w:after="240" w:before="0" w:beforeAutospacing="0" w:lineRule="auto"/>
        <w:ind w:left="720" w:hanging="360"/>
      </w:pPr>
      <w:r w:rsidDel="00000000" w:rsidR="00000000" w:rsidRPr="00000000">
        <w:rPr>
          <w:b w:val="1"/>
          <w:rtl w:val="0"/>
        </w:rPr>
        <w:t xml:space="preserve">Connection Voltage</w:t>
      </w:r>
      <w:r w:rsidDel="00000000" w:rsidR="00000000" w:rsidRPr="00000000">
        <w:rPr>
          <w:rtl w:val="0"/>
        </w:rPr>
        <w:t xml:space="preserve"> shows the voltage level at which each project connects to the grid, informing planning for safe and efficient integration.</w:t>
        <w:br w:type="textWrapping"/>
      </w:r>
    </w:p>
    <w:p w:rsidR="00000000" w:rsidDel="00000000" w:rsidP="00000000" w:rsidRDefault="00000000" w:rsidRPr="00000000" w14:paraId="00000007">
      <w:pPr>
        <w:spacing w:after="240" w:before="240" w:lineRule="auto"/>
        <w:rPr/>
      </w:pPr>
      <w:r w:rsidDel="00000000" w:rsidR="00000000" w:rsidRPr="00000000">
        <w:rPr>
          <w:rtl w:val="0"/>
        </w:rPr>
        <w:t xml:space="preserve">The dataset contains </w:t>
      </w:r>
      <w:r w:rsidDel="00000000" w:rsidR="00000000" w:rsidRPr="00000000">
        <w:rPr>
          <w:b w:val="1"/>
          <w:rtl w:val="0"/>
        </w:rPr>
        <w:t xml:space="preserve">132 rows and 85 distinct project records</w:t>
      </w:r>
      <w:r w:rsidDel="00000000" w:rsidR="00000000" w:rsidRPr="00000000">
        <w:rPr>
          <w:rtl w:val="0"/>
        </w:rPr>
        <w:t xml:space="preserve">. Data quality checks revealed </w:t>
      </w:r>
      <w:r w:rsidDel="00000000" w:rsidR="00000000" w:rsidRPr="00000000">
        <w:rPr>
          <w:b w:val="1"/>
          <w:rtl w:val="0"/>
        </w:rPr>
        <w:t xml:space="preserve">7 missing or invalid entries in the Connection Voltage column</w:t>
      </w:r>
      <w:r w:rsidDel="00000000" w:rsidR="00000000" w:rsidRPr="00000000">
        <w:rPr>
          <w:rtl w:val="0"/>
        </w:rPr>
        <w:t xml:space="preserve">, while the Max MW column had no missing values.</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6ds7gvhc1pnc" w:id="2"/>
      <w:bookmarkEnd w:id="2"/>
      <w:r w:rsidDel="00000000" w:rsidR="00000000" w:rsidRPr="00000000">
        <w:rPr>
          <w:b w:val="1"/>
          <w:color w:val="000000"/>
          <w:sz w:val="26"/>
          <w:szCs w:val="26"/>
          <w:rtl w:val="0"/>
        </w:rPr>
        <w:t xml:space="preserve">Data Preparation Steps Included:</w:t>
      </w:r>
    </w:p>
    <w:p w:rsidR="00000000" w:rsidDel="00000000" w:rsidP="00000000" w:rsidRDefault="00000000" w:rsidRPr="00000000" w14:paraId="00000009">
      <w:pPr>
        <w:numPr>
          <w:ilvl w:val="0"/>
          <w:numId w:val="6"/>
        </w:numPr>
        <w:spacing w:after="0" w:afterAutospacing="0" w:before="240" w:lineRule="auto"/>
        <w:ind w:left="720" w:hanging="360"/>
      </w:pPr>
      <w:r w:rsidDel="00000000" w:rsidR="00000000" w:rsidRPr="00000000">
        <w:rPr>
          <w:rtl w:val="0"/>
        </w:rPr>
        <w:t xml:space="preserve">Merging relevant columns for consistency</w:t>
        <w:br w:type="textWrapping"/>
      </w:r>
    </w:p>
    <w:p w:rsidR="00000000" w:rsidDel="00000000" w:rsidP="00000000" w:rsidRDefault="00000000" w:rsidRPr="00000000" w14:paraId="0000000A">
      <w:pPr>
        <w:numPr>
          <w:ilvl w:val="0"/>
          <w:numId w:val="6"/>
        </w:numPr>
        <w:spacing w:after="0" w:afterAutospacing="0" w:before="0" w:beforeAutospacing="0" w:lineRule="auto"/>
        <w:ind w:left="720" w:hanging="360"/>
      </w:pPr>
      <w:r w:rsidDel="00000000" w:rsidR="00000000" w:rsidRPr="00000000">
        <w:rPr>
          <w:rtl w:val="0"/>
        </w:rPr>
        <w:t xml:space="preserve">Addressing missing values where possible</w:t>
        <w:br w:type="textWrapping"/>
      </w:r>
    </w:p>
    <w:p w:rsidR="00000000" w:rsidDel="00000000" w:rsidP="00000000" w:rsidRDefault="00000000" w:rsidRPr="00000000" w14:paraId="0000000B">
      <w:pPr>
        <w:numPr>
          <w:ilvl w:val="0"/>
          <w:numId w:val="6"/>
        </w:numPr>
        <w:spacing w:after="240" w:before="0" w:beforeAutospacing="0" w:lineRule="auto"/>
        <w:ind w:left="720" w:hanging="360"/>
      </w:pPr>
      <w:r w:rsidDel="00000000" w:rsidR="00000000" w:rsidRPr="00000000">
        <w:rPr>
          <w:rtl w:val="0"/>
        </w:rPr>
        <w:t xml:space="preserve">Removing blank or irrelevant columns to streamline the analysis</w:t>
        <w:br w:type="textWrapping"/>
      </w:r>
    </w:p>
    <w:p w:rsidR="00000000" w:rsidDel="00000000" w:rsidP="00000000" w:rsidRDefault="00000000" w:rsidRPr="00000000" w14:paraId="0000000C">
      <w:pPr>
        <w:spacing w:after="240" w:before="240" w:lineRule="auto"/>
        <w:rPr/>
      </w:pPr>
      <w:r w:rsidDel="00000000" w:rsidR="00000000" w:rsidRPr="00000000">
        <w:rPr/>
        <w:drawing>
          <wp:inline distB="114300" distT="114300" distL="114300" distR="114300">
            <wp:extent cx="5943600" cy="41529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drawing>
          <wp:inline distB="114300" distT="114300" distL="114300" distR="114300">
            <wp:extent cx="5943600" cy="35687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Style w:val="Heading2"/>
        <w:keepNext w:val="0"/>
        <w:keepLines w:val="0"/>
        <w:spacing w:after="80" w:lineRule="auto"/>
        <w:rPr>
          <w:b w:val="1"/>
          <w:sz w:val="34"/>
          <w:szCs w:val="34"/>
        </w:rPr>
      </w:pPr>
      <w:bookmarkStart w:colFirst="0" w:colLast="0" w:name="_7i6ftd3lck0j" w:id="3"/>
      <w:bookmarkEnd w:id="3"/>
      <w:r w:rsidDel="00000000" w:rsidR="00000000" w:rsidRPr="00000000">
        <w:rPr>
          <w:b w:val="1"/>
          <w:sz w:val="34"/>
          <w:szCs w:val="34"/>
          <w:rtl w:val="0"/>
        </w:rPr>
        <w:t xml:space="preserve">Generation Type Distribution</w:t>
      </w:r>
    </w:p>
    <w:p w:rsidR="00000000" w:rsidDel="00000000" w:rsidP="00000000" w:rsidRDefault="00000000" w:rsidRPr="00000000" w14:paraId="0000000F">
      <w:pPr>
        <w:spacing w:after="240" w:before="240" w:lineRule="auto"/>
        <w:rPr/>
      </w:pPr>
      <w:r w:rsidDel="00000000" w:rsidR="00000000" w:rsidRPr="00000000">
        <w:rPr>
          <w:rtl w:val="0"/>
        </w:rPr>
        <w:t xml:space="preserve">The dataset features a diverse range of generation types, including </w:t>
      </w:r>
      <w:r w:rsidDel="00000000" w:rsidR="00000000" w:rsidRPr="00000000">
        <w:rPr>
          <w:b w:val="1"/>
          <w:rtl w:val="0"/>
        </w:rPr>
        <w:t xml:space="preserve">solar, wind, hydro, geothermal, fossil fuels,</w:t>
      </w:r>
      <w:r w:rsidDel="00000000" w:rsidR="00000000" w:rsidRPr="00000000">
        <w:rPr>
          <w:rtl w:val="0"/>
        </w:rPr>
        <w:t xml:space="preserve"> and </w:t>
      </w:r>
      <w:r w:rsidDel="00000000" w:rsidR="00000000" w:rsidRPr="00000000">
        <w:rPr>
          <w:b w:val="1"/>
          <w:rtl w:val="0"/>
        </w:rPr>
        <w:t xml:space="preserve">battery storage (BESS)</w:t>
      </w:r>
      <w:r w:rsidDel="00000000" w:rsidR="00000000" w:rsidRPr="00000000">
        <w:rPr>
          <w:rtl w:val="0"/>
        </w:rPr>
        <w:t xml:space="preserve">. This reflects a growing diversity in New Zealand’s future energy mix.</w:t>
      </w:r>
    </w:p>
    <w:p w:rsidR="00000000" w:rsidDel="00000000" w:rsidP="00000000" w:rsidRDefault="00000000" w:rsidRPr="00000000" w14:paraId="00000010">
      <w:pPr>
        <w:numPr>
          <w:ilvl w:val="0"/>
          <w:numId w:val="4"/>
        </w:numPr>
        <w:spacing w:after="0" w:afterAutospacing="0" w:before="240" w:lineRule="auto"/>
        <w:ind w:left="720" w:hanging="360"/>
      </w:pPr>
      <w:r w:rsidDel="00000000" w:rsidR="00000000" w:rsidRPr="00000000">
        <w:rPr>
          <w:b w:val="1"/>
          <w:rtl w:val="0"/>
        </w:rPr>
        <w:t xml:space="preserve">Solar</w:t>
      </w:r>
      <w:r w:rsidDel="00000000" w:rsidR="00000000" w:rsidRPr="00000000">
        <w:rPr>
          <w:rtl w:val="0"/>
        </w:rPr>
        <w:t xml:space="preserve"> is the most common generation type, accounting for </w:t>
      </w:r>
      <w:r w:rsidDel="00000000" w:rsidR="00000000" w:rsidRPr="00000000">
        <w:rPr>
          <w:b w:val="1"/>
          <w:rtl w:val="0"/>
        </w:rPr>
        <w:t xml:space="preserve">34.5%</w:t>
      </w:r>
      <w:r w:rsidDel="00000000" w:rsidR="00000000" w:rsidRPr="00000000">
        <w:rPr>
          <w:rtl w:val="0"/>
        </w:rPr>
        <w:t xml:space="preserve"> of projects.</w:t>
        <w:br w:type="textWrapping"/>
      </w:r>
    </w:p>
    <w:p w:rsidR="00000000" w:rsidDel="00000000" w:rsidP="00000000" w:rsidRDefault="00000000" w:rsidRPr="00000000" w14:paraId="00000011">
      <w:pPr>
        <w:numPr>
          <w:ilvl w:val="1"/>
          <w:numId w:val="4"/>
        </w:numPr>
        <w:spacing w:after="0" w:afterAutospacing="0" w:before="0" w:beforeAutospacing="0" w:lineRule="auto"/>
        <w:ind w:left="1440" w:hanging="360"/>
      </w:pPr>
      <w:r w:rsidDel="00000000" w:rsidR="00000000" w:rsidRPr="00000000">
        <w:rPr>
          <w:b w:val="1"/>
          <w:rtl w:val="0"/>
        </w:rPr>
        <w:t xml:space="preserve">Solar + BESS</w:t>
      </w:r>
      <w:r w:rsidDel="00000000" w:rsidR="00000000" w:rsidRPr="00000000">
        <w:rPr>
          <w:rtl w:val="0"/>
        </w:rPr>
        <w:t xml:space="preserve"> makes up </w:t>
      </w:r>
      <w:r w:rsidDel="00000000" w:rsidR="00000000" w:rsidRPr="00000000">
        <w:rPr>
          <w:b w:val="1"/>
          <w:rtl w:val="0"/>
        </w:rPr>
        <w:t xml:space="preserve">31%</w:t>
        <w:br w:type="textWrapping"/>
      </w:r>
    </w:p>
    <w:p w:rsidR="00000000" w:rsidDel="00000000" w:rsidP="00000000" w:rsidRDefault="00000000" w:rsidRPr="00000000" w14:paraId="00000012">
      <w:pPr>
        <w:numPr>
          <w:ilvl w:val="1"/>
          <w:numId w:val="4"/>
        </w:numPr>
        <w:spacing w:after="240" w:before="0" w:beforeAutospacing="0" w:lineRule="auto"/>
        <w:ind w:left="1440" w:hanging="360"/>
      </w:pPr>
      <w:r w:rsidDel="00000000" w:rsidR="00000000" w:rsidRPr="00000000">
        <w:rPr>
          <w:b w:val="1"/>
          <w:rtl w:val="0"/>
        </w:rPr>
        <w:t xml:space="preserve">Wind </w:t>
      </w:r>
      <w:r w:rsidDel="00000000" w:rsidR="00000000" w:rsidRPr="00000000">
        <w:rPr>
          <w:rtl w:val="0"/>
        </w:rPr>
        <w:t xml:space="preserve">contributes </w:t>
      </w:r>
      <w:r w:rsidDel="00000000" w:rsidR="00000000" w:rsidRPr="00000000">
        <w:rPr>
          <w:b w:val="1"/>
          <w:rtl w:val="0"/>
        </w:rPr>
        <w:t xml:space="preserve">21.8%</w:t>
      </w:r>
      <w:r w:rsidDel="00000000" w:rsidR="00000000" w:rsidRPr="00000000">
        <w:rPr>
          <w:b w:val="1"/>
          <w:rtl w:val="0"/>
        </w:rPr>
        <w:br w:type="textWrapping"/>
      </w:r>
    </w:p>
    <w:p w:rsidR="00000000" w:rsidDel="00000000" w:rsidP="00000000" w:rsidRDefault="00000000" w:rsidRPr="00000000" w14:paraId="00000013">
      <w:pPr>
        <w:spacing w:after="240" w:before="240" w:lineRule="auto"/>
        <w:ind w:left="0" w:firstLine="0"/>
        <w:rPr/>
      </w:pPr>
      <w:r w:rsidDel="00000000" w:rsidR="00000000" w:rsidRPr="00000000">
        <w:rPr>
          <w:rtl w:val="0"/>
        </w:rPr>
        <w:t xml:space="preserve">This trend signals a strong shift toward renewable and storable energy, in line with New Zealand’s national climate goals to decarbonise the economy and improve grid resilience.</w:t>
      </w:r>
    </w:p>
    <w:p w:rsidR="00000000" w:rsidDel="00000000" w:rsidP="00000000" w:rsidRDefault="00000000" w:rsidRPr="00000000" w14:paraId="00000014">
      <w:pPr>
        <w:spacing w:after="240" w:before="240" w:lineRule="auto"/>
        <w:ind w:left="0" w:firstLine="0"/>
        <w:rPr/>
      </w:pPr>
      <w:r w:rsidDel="00000000" w:rsidR="00000000" w:rsidRPr="00000000">
        <w:rPr/>
        <w:drawing>
          <wp:inline distB="114300" distT="114300" distL="114300" distR="114300">
            <wp:extent cx="5943600" cy="35433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rtl w:val="0"/>
        </w:rPr>
      </w:r>
    </w:p>
    <w:p w:rsidR="00000000" w:rsidDel="00000000" w:rsidP="00000000" w:rsidRDefault="00000000" w:rsidRPr="00000000" w14:paraId="00000016">
      <w:pPr>
        <w:pStyle w:val="Heading2"/>
        <w:keepNext w:val="0"/>
        <w:keepLines w:val="0"/>
        <w:spacing w:after="80" w:lineRule="auto"/>
        <w:rPr>
          <w:b w:val="1"/>
          <w:sz w:val="34"/>
          <w:szCs w:val="34"/>
        </w:rPr>
      </w:pPr>
      <w:bookmarkStart w:colFirst="0" w:colLast="0" w:name="_j97facpejvhh" w:id="4"/>
      <w:bookmarkEnd w:id="4"/>
      <w:r w:rsidDel="00000000" w:rsidR="00000000" w:rsidRPr="00000000">
        <w:rPr>
          <w:b w:val="1"/>
          <w:sz w:val="34"/>
          <w:szCs w:val="34"/>
          <w:rtl w:val="0"/>
        </w:rPr>
        <w:t xml:space="preserve">Total Installed Capacity (Max MW)</w:t>
      </w:r>
    </w:p>
    <w:p w:rsidR="00000000" w:rsidDel="00000000" w:rsidP="00000000" w:rsidRDefault="00000000" w:rsidRPr="00000000" w14:paraId="00000017">
      <w:pPr>
        <w:numPr>
          <w:ilvl w:val="0"/>
          <w:numId w:val="1"/>
        </w:numPr>
        <w:spacing w:after="0" w:afterAutospacing="0" w:before="240" w:lineRule="auto"/>
        <w:ind w:left="720" w:hanging="360"/>
      </w:pPr>
      <w:r w:rsidDel="00000000" w:rsidR="00000000" w:rsidRPr="00000000">
        <w:rPr>
          <w:b w:val="1"/>
          <w:rtl w:val="0"/>
        </w:rPr>
        <w:t xml:space="preserve">Solar</w:t>
      </w:r>
      <w:r w:rsidDel="00000000" w:rsidR="00000000" w:rsidRPr="00000000">
        <w:rPr>
          <w:rtl w:val="0"/>
        </w:rPr>
        <w:t xml:space="preserve"> and </w:t>
      </w:r>
      <w:r w:rsidDel="00000000" w:rsidR="00000000" w:rsidRPr="00000000">
        <w:rPr>
          <w:b w:val="1"/>
          <w:rtl w:val="0"/>
        </w:rPr>
        <w:t xml:space="preserve">Solar + BESS</w:t>
      </w:r>
      <w:r w:rsidDel="00000000" w:rsidR="00000000" w:rsidRPr="00000000">
        <w:rPr>
          <w:rtl w:val="0"/>
        </w:rPr>
        <w:t xml:space="preserve"> projects contribute the most to total planned capacity.</w:t>
        <w:br w:type="textWrapping"/>
      </w:r>
    </w:p>
    <w:p w:rsidR="00000000" w:rsidDel="00000000" w:rsidP="00000000" w:rsidRDefault="00000000" w:rsidRPr="00000000" w14:paraId="00000018">
      <w:pPr>
        <w:numPr>
          <w:ilvl w:val="0"/>
          <w:numId w:val="1"/>
        </w:numPr>
        <w:spacing w:after="0" w:afterAutospacing="0" w:before="0" w:beforeAutospacing="0" w:lineRule="auto"/>
      </w:pPr>
      <w:r w:rsidDel="00000000" w:rsidR="00000000" w:rsidRPr="00000000">
        <w:rPr>
          <w:rtl w:val="0"/>
        </w:rPr>
        <w:t xml:space="preserve">A variety of connection voltage levels suggest a mix of project sizes and purposes: </w:t>
      </w:r>
    </w:p>
    <w:p w:rsidR="00000000" w:rsidDel="00000000" w:rsidP="00000000" w:rsidRDefault="00000000" w:rsidRPr="00000000" w14:paraId="00000019">
      <w:pPr>
        <w:numPr>
          <w:ilvl w:val="0"/>
          <w:numId w:val="1"/>
        </w:numPr>
        <w:spacing w:after="0" w:afterAutospacing="0" w:before="0" w:beforeAutospacing="0" w:lineRule="auto"/>
      </w:pPr>
      <w:r w:rsidDel="00000000" w:rsidR="00000000" w:rsidRPr="00000000">
        <w:rPr>
          <w:rtl w:val="0"/>
        </w:rPr>
        <w:t xml:space="preserve">11-66 kV - Low Voltage/low capacity projects. Could be used to generate power for rural areas. </w:t>
      </w:r>
    </w:p>
    <w:p w:rsidR="00000000" w:rsidDel="00000000" w:rsidP="00000000" w:rsidRDefault="00000000" w:rsidRPr="00000000" w14:paraId="0000001A">
      <w:pPr>
        <w:numPr>
          <w:ilvl w:val="0"/>
          <w:numId w:val="1"/>
        </w:numPr>
        <w:spacing w:after="0" w:afterAutospacing="0" w:before="0" w:beforeAutospacing="0" w:lineRule="auto"/>
      </w:pPr>
      <w:r w:rsidDel="00000000" w:rsidR="00000000" w:rsidRPr="00000000">
        <w:rPr>
          <w:rtl w:val="0"/>
        </w:rPr>
        <w:t xml:space="preserve">110 kV - Medium Voltage. Medium Capacity projects. </w:t>
      </w:r>
    </w:p>
    <w:p w:rsidR="00000000" w:rsidDel="00000000" w:rsidP="00000000" w:rsidRDefault="00000000" w:rsidRPr="00000000" w14:paraId="0000001B">
      <w:pPr>
        <w:numPr>
          <w:ilvl w:val="0"/>
          <w:numId w:val="1"/>
        </w:numPr>
        <w:spacing w:after="240" w:before="0" w:beforeAutospacing="0" w:lineRule="auto"/>
      </w:pPr>
      <w:r w:rsidDel="00000000" w:rsidR="00000000" w:rsidRPr="00000000">
        <w:rPr>
          <w:rtl w:val="0"/>
        </w:rPr>
        <w:t xml:space="preserve">220 kV - High Voltage. Projects that will generate a large amount of power, most likely      will be projects used for regional areas.</w:t>
      </w:r>
    </w:p>
    <w:p w:rsidR="00000000" w:rsidDel="00000000" w:rsidP="00000000" w:rsidRDefault="00000000" w:rsidRPr="00000000" w14:paraId="0000001C">
      <w:pPr>
        <w:spacing w:after="240" w:before="240" w:lineRule="auto"/>
        <w:rPr/>
      </w:pPr>
      <w:r w:rsidDel="00000000" w:rsidR="00000000" w:rsidRPr="00000000">
        <w:rPr>
          <w:rtl w:val="0"/>
        </w:rPr>
        <w:t xml:space="preserve">Although high-voltage projects are more common, a higher voltage does not always equate to a higher Max MW. The data shows several lower-capacity projects even at higher voltages which highlights the importance of looking at data in an overall sense to understand what is going on. </w:t>
      </w:r>
    </w:p>
    <w:p w:rsidR="00000000" w:rsidDel="00000000" w:rsidP="00000000" w:rsidRDefault="00000000" w:rsidRPr="00000000" w14:paraId="0000001D">
      <w:pPr>
        <w:spacing w:after="240" w:before="240" w:lineRule="auto"/>
        <w:rPr/>
      </w:pPr>
      <w:r w:rsidDel="00000000" w:rsidR="00000000" w:rsidRPr="00000000">
        <w:rPr/>
        <w:drawing>
          <wp:inline distB="114300" distT="114300" distL="114300" distR="114300">
            <wp:extent cx="5943600" cy="35433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240" w:before="240" w:lineRule="auto"/>
        <w:rPr/>
      </w:pPr>
      <w:r w:rsidDel="00000000" w:rsidR="00000000" w:rsidRPr="00000000">
        <w:rPr>
          <w:rtl w:val="0"/>
        </w:rPr>
      </w:r>
    </w:p>
    <w:p w:rsidR="00000000" w:rsidDel="00000000" w:rsidP="00000000" w:rsidRDefault="00000000" w:rsidRPr="00000000" w14:paraId="0000001F">
      <w:pPr>
        <w:pStyle w:val="Heading2"/>
        <w:keepNext w:val="0"/>
        <w:keepLines w:val="0"/>
        <w:spacing w:after="80" w:lineRule="auto"/>
        <w:rPr>
          <w:b w:val="1"/>
          <w:sz w:val="34"/>
          <w:szCs w:val="34"/>
        </w:rPr>
      </w:pPr>
      <w:bookmarkStart w:colFirst="0" w:colLast="0" w:name="_s87akh5p70vs" w:id="5"/>
      <w:bookmarkEnd w:id="5"/>
      <w:r w:rsidDel="00000000" w:rsidR="00000000" w:rsidRPr="00000000">
        <w:rPr>
          <w:b w:val="1"/>
          <w:sz w:val="34"/>
          <w:szCs w:val="34"/>
          <w:rtl w:val="0"/>
        </w:rPr>
        <w:t xml:space="preserve">Connection Voltage</w:t>
      </w:r>
    </w:p>
    <w:p w:rsidR="00000000" w:rsidDel="00000000" w:rsidP="00000000" w:rsidRDefault="00000000" w:rsidRPr="00000000" w14:paraId="00000020">
      <w:pPr>
        <w:numPr>
          <w:ilvl w:val="0"/>
          <w:numId w:val="2"/>
        </w:numPr>
        <w:spacing w:after="0" w:afterAutospacing="0" w:before="240" w:lineRule="auto"/>
        <w:ind w:left="720" w:hanging="360"/>
      </w:pPr>
      <w:r w:rsidDel="00000000" w:rsidR="00000000" w:rsidRPr="00000000">
        <w:rPr>
          <w:b w:val="1"/>
          <w:rtl w:val="0"/>
        </w:rPr>
        <w:t xml:space="preserve">Minimum Connection Voltage:</w:t>
      </w:r>
      <w:r w:rsidDel="00000000" w:rsidR="00000000" w:rsidRPr="00000000">
        <w:rPr>
          <w:rtl w:val="0"/>
        </w:rPr>
        <w:t xml:space="preserve"> 11.0 kV</w:t>
        <w:br w:type="textWrapping"/>
      </w:r>
    </w:p>
    <w:p w:rsidR="00000000" w:rsidDel="00000000" w:rsidP="00000000" w:rsidRDefault="00000000" w:rsidRPr="00000000" w14:paraId="00000021">
      <w:pPr>
        <w:numPr>
          <w:ilvl w:val="0"/>
          <w:numId w:val="2"/>
        </w:numPr>
        <w:spacing w:after="0" w:afterAutospacing="0" w:before="0" w:beforeAutospacing="0" w:lineRule="auto"/>
        <w:ind w:left="720" w:hanging="360"/>
      </w:pPr>
      <w:r w:rsidDel="00000000" w:rsidR="00000000" w:rsidRPr="00000000">
        <w:rPr>
          <w:b w:val="1"/>
          <w:rtl w:val="0"/>
        </w:rPr>
        <w:t xml:space="preserve">Maximum Connection Voltage:</w:t>
      </w:r>
      <w:r w:rsidDel="00000000" w:rsidR="00000000" w:rsidRPr="00000000">
        <w:rPr>
          <w:rtl w:val="0"/>
        </w:rPr>
        <w:t xml:space="preserve"> 220.0 kV</w:t>
        <w:br w:type="textWrapping"/>
      </w:r>
    </w:p>
    <w:p w:rsidR="00000000" w:rsidDel="00000000" w:rsidP="00000000" w:rsidRDefault="00000000" w:rsidRPr="00000000" w14:paraId="00000022">
      <w:pPr>
        <w:numPr>
          <w:ilvl w:val="0"/>
          <w:numId w:val="2"/>
        </w:numPr>
        <w:spacing w:after="240" w:before="0" w:beforeAutospacing="0" w:lineRule="auto"/>
        <w:ind w:left="720" w:hanging="360"/>
      </w:pPr>
      <w:r w:rsidDel="00000000" w:rsidR="00000000" w:rsidRPr="00000000">
        <w:rPr>
          <w:b w:val="1"/>
          <w:rtl w:val="0"/>
        </w:rPr>
        <w:t xml:space="preserve">Average Connection Voltage:</w:t>
      </w:r>
      <w:r w:rsidDel="00000000" w:rsidR="00000000" w:rsidRPr="00000000">
        <w:rPr>
          <w:rtl w:val="0"/>
        </w:rPr>
        <w:t xml:space="preserve"> 144.27 kV</w:t>
        <w:br w:type="textWrapping"/>
      </w:r>
    </w:p>
    <w:p w:rsidR="00000000" w:rsidDel="00000000" w:rsidP="00000000" w:rsidRDefault="00000000" w:rsidRPr="00000000" w14:paraId="00000023">
      <w:pPr>
        <w:spacing w:after="240" w:before="240" w:lineRule="auto"/>
        <w:rPr/>
      </w:pPr>
      <w:r w:rsidDel="00000000" w:rsidR="00000000" w:rsidRPr="00000000">
        <w:rPr>
          <w:rtl w:val="0"/>
        </w:rPr>
        <w:t xml:space="preserve">There is a positive correlation between connection voltage and Max MW, with higher voltages generally allowing for greater generation capacity. However, the presence of low-capacity projects at high voltage indicates that capacity alone does not determine voltage level.</w:t>
      </w:r>
      <w:r w:rsidDel="00000000" w:rsidR="00000000" w:rsidRPr="00000000">
        <w:rPr>
          <w:rtl w:val="0"/>
        </w:rPr>
      </w:r>
    </w:p>
    <w:p w:rsidR="00000000" w:rsidDel="00000000" w:rsidP="00000000" w:rsidRDefault="00000000" w:rsidRPr="00000000" w14:paraId="00000024">
      <w:pPr>
        <w:pStyle w:val="Heading2"/>
        <w:keepNext w:val="0"/>
        <w:keepLines w:val="0"/>
        <w:spacing w:after="80" w:lineRule="auto"/>
        <w:rPr>
          <w:b w:val="1"/>
          <w:sz w:val="34"/>
          <w:szCs w:val="34"/>
        </w:rPr>
      </w:pPr>
      <w:bookmarkStart w:colFirst="0" w:colLast="0" w:name="_dudw4c2i3ulb" w:id="6"/>
      <w:bookmarkEnd w:id="6"/>
      <w:r w:rsidDel="00000000" w:rsidR="00000000" w:rsidRPr="00000000">
        <w:rPr>
          <w:b w:val="1"/>
          <w:sz w:val="34"/>
          <w:szCs w:val="34"/>
          <w:rtl w:val="0"/>
        </w:rPr>
        <w:t xml:space="preserve">Key Insights &amp; Trends</w:t>
      </w:r>
    </w:p>
    <w:p w:rsidR="00000000" w:rsidDel="00000000" w:rsidP="00000000" w:rsidRDefault="00000000" w:rsidRPr="00000000" w14:paraId="00000025">
      <w:pPr>
        <w:numPr>
          <w:ilvl w:val="0"/>
          <w:numId w:val="7"/>
        </w:numPr>
        <w:spacing w:after="0" w:afterAutospacing="0" w:before="240" w:lineRule="auto"/>
        <w:ind w:left="720" w:hanging="360"/>
      </w:pPr>
      <w:r w:rsidDel="00000000" w:rsidR="00000000" w:rsidRPr="00000000">
        <w:rPr>
          <w:rtl w:val="0"/>
        </w:rPr>
        <w:t xml:space="preserve">There is a clear trend toward renewable energy, particularly in solar and wind, moving away from traditional sources like hydro, which may be constrained due to site availability.</w:t>
      </w:r>
      <w:r w:rsidDel="00000000" w:rsidR="00000000" w:rsidRPr="00000000">
        <w:rPr>
          <w:rtl w:val="0"/>
        </w:rPr>
        <w:br w:type="textWrapping"/>
      </w:r>
    </w:p>
    <w:p w:rsidR="00000000" w:rsidDel="00000000" w:rsidP="00000000" w:rsidRDefault="00000000" w:rsidRPr="00000000" w14:paraId="00000026">
      <w:pPr>
        <w:numPr>
          <w:ilvl w:val="0"/>
          <w:numId w:val="7"/>
        </w:numPr>
        <w:spacing w:after="0" w:afterAutospacing="0" w:before="0" w:beforeAutospacing="0" w:lineRule="auto"/>
        <w:ind w:left="720" w:hanging="360"/>
      </w:pPr>
      <w:r w:rsidDel="00000000" w:rsidR="00000000" w:rsidRPr="00000000">
        <w:rPr>
          <w:rtl w:val="0"/>
        </w:rPr>
        <w:t xml:space="preserve">The rise of solar + battery storage reflects the need for flexibility and reliability in energy supply.</w:t>
      </w:r>
      <w:r w:rsidDel="00000000" w:rsidR="00000000" w:rsidRPr="00000000">
        <w:rPr>
          <w:rtl w:val="0"/>
        </w:rPr>
        <w:br w:type="textWrapping"/>
      </w:r>
    </w:p>
    <w:p w:rsidR="00000000" w:rsidDel="00000000" w:rsidP="00000000" w:rsidRDefault="00000000" w:rsidRPr="00000000" w14:paraId="00000027">
      <w:pPr>
        <w:numPr>
          <w:ilvl w:val="0"/>
          <w:numId w:val="7"/>
        </w:numPr>
        <w:spacing w:after="0" w:afterAutospacing="0" w:before="0" w:beforeAutospacing="0" w:lineRule="auto"/>
        <w:ind w:left="720" w:hanging="360"/>
      </w:pPr>
      <w:r w:rsidDel="00000000" w:rsidR="00000000" w:rsidRPr="00000000">
        <w:rPr>
          <w:rtl w:val="0"/>
        </w:rPr>
        <w:t xml:space="preserve">Many high-voltage projects still exhibit lower capacity, highlighting that high voltage does not necessarily give insight to power output. </w:t>
      </w:r>
      <w:r w:rsidDel="00000000" w:rsidR="00000000" w:rsidRPr="00000000">
        <w:rPr>
          <w:rtl w:val="0"/>
        </w:rPr>
        <w:br w:type="textWrapping"/>
      </w:r>
    </w:p>
    <w:p w:rsidR="00000000" w:rsidDel="00000000" w:rsidP="00000000" w:rsidRDefault="00000000" w:rsidRPr="00000000" w14:paraId="00000028">
      <w:pPr>
        <w:numPr>
          <w:ilvl w:val="0"/>
          <w:numId w:val="7"/>
        </w:numPr>
        <w:spacing w:after="240" w:before="0" w:beforeAutospacing="0" w:lineRule="auto"/>
        <w:ind w:left="720" w:hanging="360"/>
      </w:pPr>
      <w:r w:rsidDel="00000000" w:rsidR="00000000" w:rsidRPr="00000000">
        <w:rPr>
          <w:rtl w:val="0"/>
        </w:rPr>
        <w:t xml:space="preserve">Overall, the data reflects New Zealand’s strategic push toward clean energy and sustainable generation.</w:t>
      </w:r>
      <w:r w:rsidDel="00000000" w:rsidR="00000000" w:rsidRPr="00000000">
        <w:rPr>
          <w:rtl w:val="0"/>
        </w:rPr>
        <w:br w:type="textWrapping"/>
      </w:r>
    </w:p>
    <w:p w:rsidR="00000000" w:rsidDel="00000000" w:rsidP="00000000" w:rsidRDefault="00000000" w:rsidRPr="00000000" w14:paraId="00000029">
      <w:pPr>
        <w:spacing w:after="240" w:before="240" w:lineRule="auto"/>
        <w:rPr/>
      </w:pPr>
      <w:r w:rsidDel="00000000" w:rsidR="00000000" w:rsidRPr="00000000">
        <w:rPr>
          <w:rtl w:val="0"/>
        </w:rPr>
      </w:r>
    </w:p>
    <w:p w:rsidR="00000000" w:rsidDel="00000000" w:rsidP="00000000" w:rsidRDefault="00000000" w:rsidRPr="00000000" w14:paraId="0000002A">
      <w:pPr>
        <w:pStyle w:val="Heading2"/>
        <w:keepNext w:val="0"/>
        <w:keepLines w:val="0"/>
        <w:spacing w:after="80" w:lineRule="auto"/>
        <w:rPr>
          <w:b w:val="1"/>
          <w:sz w:val="34"/>
          <w:szCs w:val="34"/>
        </w:rPr>
      </w:pPr>
      <w:bookmarkStart w:colFirst="0" w:colLast="0" w:name="_lnataplvqrv3" w:id="7"/>
      <w:bookmarkEnd w:id="7"/>
      <w:r w:rsidDel="00000000" w:rsidR="00000000" w:rsidRPr="00000000">
        <w:rPr>
          <w:b w:val="1"/>
          <w:sz w:val="34"/>
          <w:szCs w:val="34"/>
          <w:rtl w:val="0"/>
        </w:rPr>
        <w:t xml:space="preserve">Recommendations</w:t>
      </w:r>
    </w:p>
    <w:p w:rsidR="00000000" w:rsidDel="00000000" w:rsidP="00000000" w:rsidRDefault="00000000" w:rsidRPr="00000000" w14:paraId="0000002B">
      <w:pPr>
        <w:numPr>
          <w:ilvl w:val="0"/>
          <w:numId w:val="3"/>
        </w:numPr>
        <w:spacing w:after="0" w:afterAutospacing="0" w:before="240" w:lineRule="auto"/>
        <w:ind w:left="720" w:hanging="360"/>
      </w:pPr>
      <w:r w:rsidDel="00000000" w:rsidR="00000000" w:rsidRPr="00000000">
        <w:rPr>
          <w:b w:val="1"/>
          <w:rtl w:val="0"/>
        </w:rPr>
        <w:t xml:space="preserve">Infrastructure Readiness:</w:t>
      </w:r>
      <w:r w:rsidDel="00000000" w:rsidR="00000000" w:rsidRPr="00000000">
        <w:rPr>
          <w:rtl w:val="0"/>
        </w:rPr>
        <w:t xml:space="preserve"> </w:t>
      </w:r>
      <w:r w:rsidDel="00000000" w:rsidR="00000000" w:rsidRPr="00000000">
        <w:rPr>
          <w:rtl w:val="0"/>
        </w:rPr>
        <w:t xml:space="preserve">Review whether current infrastructure supports high-voltage connections for large-scale projects.</w:t>
      </w:r>
      <w:r w:rsidDel="00000000" w:rsidR="00000000" w:rsidRPr="00000000">
        <w:rPr>
          <w:rtl w:val="0"/>
        </w:rPr>
        <w:br w:type="textWrapping"/>
      </w:r>
    </w:p>
    <w:p w:rsidR="00000000" w:rsidDel="00000000" w:rsidP="00000000" w:rsidRDefault="00000000" w:rsidRPr="00000000" w14:paraId="0000002C">
      <w:pPr>
        <w:numPr>
          <w:ilvl w:val="0"/>
          <w:numId w:val="3"/>
        </w:numPr>
        <w:spacing w:after="0" w:afterAutospacing="0" w:before="0" w:beforeAutospacing="0" w:lineRule="auto"/>
        <w:ind w:left="720" w:hanging="360"/>
      </w:pPr>
      <w:r w:rsidDel="00000000" w:rsidR="00000000" w:rsidRPr="00000000">
        <w:rPr>
          <w:b w:val="1"/>
          <w:rtl w:val="0"/>
        </w:rPr>
        <w:t xml:space="preserve">Investment Priorities:</w:t>
      </w:r>
      <w:r w:rsidDel="00000000" w:rsidR="00000000" w:rsidRPr="00000000">
        <w:rPr>
          <w:rtl w:val="0"/>
        </w:rPr>
        <w:t xml:space="preserve"> </w:t>
      </w:r>
      <w:r w:rsidDel="00000000" w:rsidR="00000000" w:rsidRPr="00000000">
        <w:rPr>
          <w:rtl w:val="0"/>
        </w:rPr>
        <w:t xml:space="preserve">Consider focusing investment in technologies that combine renewable generation with storage, particularly solar + BESS.</w:t>
      </w:r>
      <w:r w:rsidDel="00000000" w:rsidR="00000000" w:rsidRPr="00000000">
        <w:rPr>
          <w:rtl w:val="0"/>
        </w:rPr>
        <w:br w:type="textWrapping"/>
      </w:r>
    </w:p>
    <w:p w:rsidR="00000000" w:rsidDel="00000000" w:rsidP="00000000" w:rsidRDefault="00000000" w:rsidRPr="00000000" w14:paraId="0000002D">
      <w:pPr>
        <w:numPr>
          <w:ilvl w:val="0"/>
          <w:numId w:val="3"/>
        </w:numPr>
        <w:spacing w:after="0" w:afterAutospacing="0" w:before="0" w:beforeAutospacing="0" w:lineRule="auto"/>
        <w:ind w:left="720" w:hanging="360"/>
      </w:pPr>
      <w:r w:rsidDel="00000000" w:rsidR="00000000" w:rsidRPr="00000000">
        <w:rPr>
          <w:b w:val="1"/>
          <w:rtl w:val="0"/>
        </w:rPr>
        <w:t xml:space="preserve">Strategic Planning:</w:t>
      </w:r>
      <w:r w:rsidDel="00000000" w:rsidR="00000000" w:rsidRPr="00000000">
        <w:rPr>
          <w:rtl w:val="0"/>
        </w:rPr>
        <w:t xml:space="preserve"> Factor in the shift away from hydro and fossil fuels in upcoming projects when developing long-term plans.</w:t>
        <w:br w:type="textWrapping"/>
      </w:r>
    </w:p>
    <w:p w:rsidR="00000000" w:rsidDel="00000000" w:rsidP="00000000" w:rsidRDefault="00000000" w:rsidRPr="00000000" w14:paraId="0000002E">
      <w:pPr>
        <w:numPr>
          <w:ilvl w:val="0"/>
          <w:numId w:val="3"/>
        </w:numPr>
        <w:spacing w:after="240" w:before="0" w:beforeAutospacing="0" w:lineRule="auto"/>
        <w:ind w:left="720" w:hanging="360"/>
      </w:pPr>
      <w:r w:rsidDel="00000000" w:rsidR="00000000" w:rsidRPr="00000000">
        <w:rPr>
          <w:b w:val="1"/>
          <w:rtl w:val="0"/>
        </w:rPr>
        <w:t xml:space="preserve">Further Analysis:</w:t>
      </w:r>
      <w:r w:rsidDel="00000000" w:rsidR="00000000" w:rsidRPr="00000000">
        <w:rPr>
          <w:rtl w:val="0"/>
        </w:rPr>
        <w:t xml:space="preserve"> Investigate what else will affect the increase in these technologies. For example, possible sites for wind and which iwis will need to be spoken to, or if its private property, investigating the funding needed. </w:t>
      </w:r>
    </w:p>
    <w:p w:rsidR="00000000" w:rsidDel="00000000" w:rsidP="00000000" w:rsidRDefault="00000000" w:rsidRPr="00000000" w14:paraId="0000002F">
      <w:pPr>
        <w:spacing w:after="240" w:before="240" w:lineRule="auto"/>
        <w:ind w:left="0" w:firstLine="0"/>
        <w:rPr/>
      </w:pPr>
      <w:r w:rsidDel="00000000" w:rsidR="00000000" w:rsidRPr="00000000">
        <w:rPr>
          <w:rtl w:val="0"/>
        </w:rPr>
      </w:r>
    </w:p>
    <w:p w:rsidR="00000000" w:rsidDel="00000000" w:rsidP="00000000" w:rsidRDefault="00000000" w:rsidRPr="00000000" w14:paraId="00000030">
      <w:pPr>
        <w:spacing w:after="240" w:before="240" w:lineRule="auto"/>
        <w:rPr/>
      </w:pPr>
      <w:r w:rsidDel="00000000" w:rsidR="00000000" w:rsidRPr="00000000">
        <w:rPr>
          <w:rtl w:val="0"/>
        </w:rPr>
      </w:r>
    </w:p>
    <w:p w:rsidR="00000000" w:rsidDel="00000000" w:rsidP="00000000" w:rsidRDefault="00000000" w:rsidRPr="00000000" w14:paraId="00000031">
      <w:pPr>
        <w:spacing w:after="240" w:before="240" w:lineRule="auto"/>
        <w:rPr/>
      </w:pPr>
      <w:r w:rsidDel="00000000" w:rsidR="00000000" w:rsidRPr="00000000">
        <w:rPr>
          <w:rtl w:val="0"/>
        </w:rPr>
      </w:r>
    </w:p>
    <w:p w:rsidR="00000000" w:rsidDel="00000000" w:rsidP="00000000" w:rsidRDefault="00000000" w:rsidRPr="00000000" w14:paraId="00000032">
      <w:pPr>
        <w:spacing w:after="240" w:before="240" w:lineRule="auto"/>
        <w:rPr/>
      </w:pPr>
      <w:r w:rsidDel="00000000" w:rsidR="00000000" w:rsidRPr="00000000">
        <w:rPr>
          <w:rtl w:val="0"/>
        </w:rPr>
      </w:r>
    </w:p>
    <w:p w:rsidR="00000000" w:rsidDel="00000000" w:rsidP="00000000" w:rsidRDefault="00000000" w:rsidRPr="00000000" w14:paraId="00000033">
      <w:pPr>
        <w:spacing w:after="240" w:before="240" w:lineRule="auto"/>
        <w:rPr/>
      </w:pPr>
      <w:r w:rsidDel="00000000" w:rsidR="00000000" w:rsidRPr="00000000">
        <w:rPr>
          <w:rtl w:val="0"/>
        </w:rPr>
      </w:r>
    </w:p>
    <w:p w:rsidR="00000000" w:rsidDel="00000000" w:rsidP="00000000" w:rsidRDefault="00000000" w:rsidRPr="00000000" w14:paraId="00000034">
      <w:pPr>
        <w:spacing w:after="240" w:before="240" w:lineRule="auto"/>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