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rFonts w:hint="eastAsia"/>
          <w:lang w:eastAsia="zh-CN"/>
        </w:rPr>
      </w:pPr>
    </w:p>
    <w:p w:rsidR="00C50C53" w:rsidRDefault="0051114F" w:rsidP="00FE2E1C">
      <w:pPr>
        <w:rPr>
          <w:rFonts w:hint="eastAsia"/>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rFonts w:hint="eastAsia"/>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rFonts w:hint="eastAsia"/>
          <w:lang w:eastAsia="zh-CN"/>
        </w:rPr>
      </w:pPr>
      <w:r>
        <w:rPr>
          <w:rFonts w:hint="eastAsia"/>
          <w:lang w:eastAsia="zh-CN"/>
        </w:rPr>
        <w:t>3.</w:t>
      </w:r>
      <w:r>
        <w:rPr>
          <w:rFonts w:hint="eastAsia"/>
          <w:lang w:eastAsia="zh-CN"/>
        </w:rPr>
        <w:t>可重入锁。</w:t>
      </w:r>
    </w:p>
    <w:p w:rsidR="003743CD" w:rsidRDefault="001C6BC5" w:rsidP="003743CD">
      <w:pPr>
        <w:rPr>
          <w:rFonts w:hint="eastAsia"/>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rFonts w:hint="eastAsia"/>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rFonts w:hint="eastAsia"/>
          <w:color w:val="000000" w:themeColor="text1"/>
          <w:lang w:eastAsia="zh-CN"/>
        </w:rPr>
      </w:pPr>
      <w:r>
        <w:rPr>
          <w:rFonts w:hint="eastAsia"/>
          <w:color w:val="000000" w:themeColor="text1"/>
          <w:lang w:eastAsia="zh-CN"/>
        </w:rPr>
        <w:t>读锁和写锁都加入可重入。</w:t>
      </w:r>
    </w:p>
    <w:p w:rsidR="001579DA" w:rsidRPr="001579DA" w:rsidRDefault="00997A24" w:rsidP="003743CD">
      <w:pPr>
        <w:rPr>
          <w:color w:val="FF0000"/>
          <w:lang w:eastAsia="zh-CN"/>
        </w:rPr>
      </w:pPr>
      <w:r>
        <w:rPr>
          <w:rFonts w:hint="eastAsia"/>
          <w:color w:val="000000" w:themeColor="text1"/>
          <w:lang w:eastAsia="zh-CN"/>
        </w:rPr>
        <w:t>实现代码：</w:t>
      </w:r>
      <w:r>
        <w:rPr>
          <w:rFonts w:hint="eastAsia"/>
          <w:color w:val="000000" w:themeColor="text1"/>
          <w:lang w:eastAsia="zh-CN"/>
        </w:rPr>
        <w:t>C3_3_1ReadWriteLock</w:t>
      </w:r>
    </w:p>
    <w:sectPr w:rsidR="001579DA" w:rsidRPr="001579DA"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3CF" w:rsidRDefault="008B33CF" w:rsidP="00747898">
      <w:pPr>
        <w:spacing w:before="0" w:after="0" w:line="240" w:lineRule="auto"/>
      </w:pPr>
      <w:r>
        <w:separator/>
      </w:r>
    </w:p>
  </w:endnote>
  <w:endnote w:type="continuationSeparator" w:id="1">
    <w:p w:rsidR="008B33CF" w:rsidRDefault="008B33CF"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3CF" w:rsidRDefault="008B33CF" w:rsidP="00747898">
      <w:pPr>
        <w:spacing w:before="0" w:after="0" w:line="240" w:lineRule="auto"/>
      </w:pPr>
      <w:r>
        <w:separator/>
      </w:r>
    </w:p>
  </w:footnote>
  <w:footnote w:type="continuationSeparator" w:id="1">
    <w:p w:rsidR="008B33CF" w:rsidRDefault="008B33CF"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7FCB"/>
    <w:rsid w:val="00075343"/>
    <w:rsid w:val="000A16DB"/>
    <w:rsid w:val="000A367E"/>
    <w:rsid w:val="000B74A7"/>
    <w:rsid w:val="000C1BFA"/>
    <w:rsid w:val="000C61CB"/>
    <w:rsid w:val="000D73A9"/>
    <w:rsid w:val="000F116A"/>
    <w:rsid w:val="00102548"/>
    <w:rsid w:val="00102AF9"/>
    <w:rsid w:val="0011251E"/>
    <w:rsid w:val="00122D39"/>
    <w:rsid w:val="00124FA5"/>
    <w:rsid w:val="001258FD"/>
    <w:rsid w:val="00131E57"/>
    <w:rsid w:val="001375B9"/>
    <w:rsid w:val="00141D9B"/>
    <w:rsid w:val="001453FE"/>
    <w:rsid w:val="00152254"/>
    <w:rsid w:val="00152B3A"/>
    <w:rsid w:val="00155435"/>
    <w:rsid w:val="00157654"/>
    <w:rsid w:val="001578F1"/>
    <w:rsid w:val="001579DA"/>
    <w:rsid w:val="00174BF0"/>
    <w:rsid w:val="0019176F"/>
    <w:rsid w:val="00193764"/>
    <w:rsid w:val="001939C7"/>
    <w:rsid w:val="001A1384"/>
    <w:rsid w:val="001A697C"/>
    <w:rsid w:val="001B007E"/>
    <w:rsid w:val="001B08B5"/>
    <w:rsid w:val="001C06C2"/>
    <w:rsid w:val="001C6BC5"/>
    <w:rsid w:val="001D5690"/>
    <w:rsid w:val="001E2824"/>
    <w:rsid w:val="001E7284"/>
    <w:rsid w:val="001F1638"/>
    <w:rsid w:val="002003D8"/>
    <w:rsid w:val="00203323"/>
    <w:rsid w:val="00203A72"/>
    <w:rsid w:val="00206335"/>
    <w:rsid w:val="00223ECA"/>
    <w:rsid w:val="00231BE8"/>
    <w:rsid w:val="00241147"/>
    <w:rsid w:val="00260791"/>
    <w:rsid w:val="00265E7D"/>
    <w:rsid w:val="00270CFB"/>
    <w:rsid w:val="002727D6"/>
    <w:rsid w:val="00282052"/>
    <w:rsid w:val="00282431"/>
    <w:rsid w:val="0028684B"/>
    <w:rsid w:val="00293B0E"/>
    <w:rsid w:val="00294557"/>
    <w:rsid w:val="00294F3D"/>
    <w:rsid w:val="002A4D1E"/>
    <w:rsid w:val="002B0645"/>
    <w:rsid w:val="002B4189"/>
    <w:rsid w:val="002C5A15"/>
    <w:rsid w:val="002D2C61"/>
    <w:rsid w:val="002D40B9"/>
    <w:rsid w:val="002D7311"/>
    <w:rsid w:val="002E22F7"/>
    <w:rsid w:val="002E57EE"/>
    <w:rsid w:val="002F467D"/>
    <w:rsid w:val="002F6B90"/>
    <w:rsid w:val="003044D3"/>
    <w:rsid w:val="003205EB"/>
    <w:rsid w:val="00325199"/>
    <w:rsid w:val="00327DF3"/>
    <w:rsid w:val="003335AE"/>
    <w:rsid w:val="003376E3"/>
    <w:rsid w:val="00343728"/>
    <w:rsid w:val="00344B00"/>
    <w:rsid w:val="00353360"/>
    <w:rsid w:val="0036392B"/>
    <w:rsid w:val="00370EF0"/>
    <w:rsid w:val="003734DF"/>
    <w:rsid w:val="00373E37"/>
    <w:rsid w:val="003743CD"/>
    <w:rsid w:val="00377211"/>
    <w:rsid w:val="003779AE"/>
    <w:rsid w:val="00395054"/>
    <w:rsid w:val="003A0067"/>
    <w:rsid w:val="003C1A2F"/>
    <w:rsid w:val="003C1B8E"/>
    <w:rsid w:val="003C454E"/>
    <w:rsid w:val="003D0033"/>
    <w:rsid w:val="003D3F60"/>
    <w:rsid w:val="003E04F1"/>
    <w:rsid w:val="00402F2B"/>
    <w:rsid w:val="00410849"/>
    <w:rsid w:val="00421647"/>
    <w:rsid w:val="004330F0"/>
    <w:rsid w:val="00433B07"/>
    <w:rsid w:val="00434022"/>
    <w:rsid w:val="004448CD"/>
    <w:rsid w:val="0046052D"/>
    <w:rsid w:val="00465717"/>
    <w:rsid w:val="00474800"/>
    <w:rsid w:val="00480E48"/>
    <w:rsid w:val="004A4246"/>
    <w:rsid w:val="004A4908"/>
    <w:rsid w:val="004C310D"/>
    <w:rsid w:val="004C6F1F"/>
    <w:rsid w:val="004E2E5B"/>
    <w:rsid w:val="0050026C"/>
    <w:rsid w:val="00502934"/>
    <w:rsid w:val="00507004"/>
    <w:rsid w:val="0051114F"/>
    <w:rsid w:val="00511AE8"/>
    <w:rsid w:val="005145C8"/>
    <w:rsid w:val="005177A9"/>
    <w:rsid w:val="00524FFF"/>
    <w:rsid w:val="00527040"/>
    <w:rsid w:val="005324FA"/>
    <w:rsid w:val="00535A67"/>
    <w:rsid w:val="00541A5C"/>
    <w:rsid w:val="00542FCB"/>
    <w:rsid w:val="005501B5"/>
    <w:rsid w:val="00555665"/>
    <w:rsid w:val="00571F6F"/>
    <w:rsid w:val="00572AFC"/>
    <w:rsid w:val="0059598B"/>
    <w:rsid w:val="00596809"/>
    <w:rsid w:val="005A37ED"/>
    <w:rsid w:val="005A3D1B"/>
    <w:rsid w:val="005B4B61"/>
    <w:rsid w:val="005B6BB2"/>
    <w:rsid w:val="005B798F"/>
    <w:rsid w:val="005C39B8"/>
    <w:rsid w:val="005D5369"/>
    <w:rsid w:val="005E163A"/>
    <w:rsid w:val="005F2E24"/>
    <w:rsid w:val="00601B2A"/>
    <w:rsid w:val="00615AAE"/>
    <w:rsid w:val="00644D52"/>
    <w:rsid w:val="006463E4"/>
    <w:rsid w:val="00647A9B"/>
    <w:rsid w:val="006614FE"/>
    <w:rsid w:val="006701B2"/>
    <w:rsid w:val="006935D5"/>
    <w:rsid w:val="006B28AE"/>
    <w:rsid w:val="006B5707"/>
    <w:rsid w:val="006D3B02"/>
    <w:rsid w:val="006F6451"/>
    <w:rsid w:val="006F6A58"/>
    <w:rsid w:val="006F776C"/>
    <w:rsid w:val="0070007A"/>
    <w:rsid w:val="007207C2"/>
    <w:rsid w:val="007265B4"/>
    <w:rsid w:val="00734EA8"/>
    <w:rsid w:val="00742256"/>
    <w:rsid w:val="00747898"/>
    <w:rsid w:val="00770C70"/>
    <w:rsid w:val="007717F2"/>
    <w:rsid w:val="007766C5"/>
    <w:rsid w:val="00780134"/>
    <w:rsid w:val="00786B84"/>
    <w:rsid w:val="00790F1B"/>
    <w:rsid w:val="00794E92"/>
    <w:rsid w:val="00796600"/>
    <w:rsid w:val="007A4F79"/>
    <w:rsid w:val="007B494F"/>
    <w:rsid w:val="007B615B"/>
    <w:rsid w:val="007D2221"/>
    <w:rsid w:val="007D65E4"/>
    <w:rsid w:val="007D7C12"/>
    <w:rsid w:val="007E5EE5"/>
    <w:rsid w:val="007F6496"/>
    <w:rsid w:val="0080370A"/>
    <w:rsid w:val="00820860"/>
    <w:rsid w:val="008250A4"/>
    <w:rsid w:val="008274F4"/>
    <w:rsid w:val="00830D7A"/>
    <w:rsid w:val="008368D7"/>
    <w:rsid w:val="00855AD0"/>
    <w:rsid w:val="00856723"/>
    <w:rsid w:val="0087110C"/>
    <w:rsid w:val="00882D03"/>
    <w:rsid w:val="008B33CF"/>
    <w:rsid w:val="008B6776"/>
    <w:rsid w:val="008B77D4"/>
    <w:rsid w:val="008C63E9"/>
    <w:rsid w:val="008D0311"/>
    <w:rsid w:val="008D683A"/>
    <w:rsid w:val="008D70F8"/>
    <w:rsid w:val="008E4707"/>
    <w:rsid w:val="008E5A38"/>
    <w:rsid w:val="008F5A50"/>
    <w:rsid w:val="008F7E22"/>
    <w:rsid w:val="00911A6D"/>
    <w:rsid w:val="00911BEB"/>
    <w:rsid w:val="00912A2A"/>
    <w:rsid w:val="00936C46"/>
    <w:rsid w:val="00942587"/>
    <w:rsid w:val="0094708C"/>
    <w:rsid w:val="009477B6"/>
    <w:rsid w:val="00952F56"/>
    <w:rsid w:val="00964A77"/>
    <w:rsid w:val="00982041"/>
    <w:rsid w:val="0098261A"/>
    <w:rsid w:val="00990B7B"/>
    <w:rsid w:val="00994353"/>
    <w:rsid w:val="00997A24"/>
    <w:rsid w:val="00997F3E"/>
    <w:rsid w:val="009A0FCF"/>
    <w:rsid w:val="009A1518"/>
    <w:rsid w:val="009A6AD2"/>
    <w:rsid w:val="009B6CF5"/>
    <w:rsid w:val="009B74A0"/>
    <w:rsid w:val="009C2B39"/>
    <w:rsid w:val="009D5315"/>
    <w:rsid w:val="009F1745"/>
    <w:rsid w:val="00A02AB4"/>
    <w:rsid w:val="00A02C11"/>
    <w:rsid w:val="00A213F8"/>
    <w:rsid w:val="00A45397"/>
    <w:rsid w:val="00A524F9"/>
    <w:rsid w:val="00A65C68"/>
    <w:rsid w:val="00A719BF"/>
    <w:rsid w:val="00A76EAC"/>
    <w:rsid w:val="00A76FFD"/>
    <w:rsid w:val="00A87097"/>
    <w:rsid w:val="00AA2396"/>
    <w:rsid w:val="00AB290F"/>
    <w:rsid w:val="00AE1E90"/>
    <w:rsid w:val="00AE1F93"/>
    <w:rsid w:val="00AF7C24"/>
    <w:rsid w:val="00B1242C"/>
    <w:rsid w:val="00B3626A"/>
    <w:rsid w:val="00B51FD9"/>
    <w:rsid w:val="00B53CCD"/>
    <w:rsid w:val="00B55668"/>
    <w:rsid w:val="00B71867"/>
    <w:rsid w:val="00B75CCE"/>
    <w:rsid w:val="00B813F9"/>
    <w:rsid w:val="00B937C3"/>
    <w:rsid w:val="00B97FA7"/>
    <w:rsid w:val="00BB1908"/>
    <w:rsid w:val="00BB390C"/>
    <w:rsid w:val="00BD4599"/>
    <w:rsid w:val="00BF7031"/>
    <w:rsid w:val="00C03F3A"/>
    <w:rsid w:val="00C04673"/>
    <w:rsid w:val="00C058D2"/>
    <w:rsid w:val="00C249B6"/>
    <w:rsid w:val="00C43395"/>
    <w:rsid w:val="00C50C53"/>
    <w:rsid w:val="00C57981"/>
    <w:rsid w:val="00C65FE8"/>
    <w:rsid w:val="00C97A14"/>
    <w:rsid w:val="00CA57E0"/>
    <w:rsid w:val="00CB431D"/>
    <w:rsid w:val="00CB5B2E"/>
    <w:rsid w:val="00CD0C79"/>
    <w:rsid w:val="00CD6C08"/>
    <w:rsid w:val="00CD77CE"/>
    <w:rsid w:val="00CE0E39"/>
    <w:rsid w:val="00CE21F4"/>
    <w:rsid w:val="00D07344"/>
    <w:rsid w:val="00D1791A"/>
    <w:rsid w:val="00D25DE0"/>
    <w:rsid w:val="00D31BE7"/>
    <w:rsid w:val="00D31C8D"/>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40BCE"/>
    <w:rsid w:val="00E62CD0"/>
    <w:rsid w:val="00E65E0C"/>
    <w:rsid w:val="00E703EC"/>
    <w:rsid w:val="00E82040"/>
    <w:rsid w:val="00E832D5"/>
    <w:rsid w:val="00E87075"/>
    <w:rsid w:val="00E933E5"/>
    <w:rsid w:val="00EA1C03"/>
    <w:rsid w:val="00EC425F"/>
    <w:rsid w:val="00EC63A4"/>
    <w:rsid w:val="00EE63E0"/>
    <w:rsid w:val="00EE6569"/>
    <w:rsid w:val="00EF01F0"/>
    <w:rsid w:val="00EF0A5A"/>
    <w:rsid w:val="00EF1F77"/>
    <w:rsid w:val="00EF3A17"/>
    <w:rsid w:val="00F1197C"/>
    <w:rsid w:val="00F172CE"/>
    <w:rsid w:val="00F23380"/>
    <w:rsid w:val="00F306A9"/>
    <w:rsid w:val="00F35484"/>
    <w:rsid w:val="00F468E6"/>
    <w:rsid w:val="00F47795"/>
    <w:rsid w:val="00F500E0"/>
    <w:rsid w:val="00F513C3"/>
    <w:rsid w:val="00F70F95"/>
    <w:rsid w:val="00F732CC"/>
    <w:rsid w:val="00F8418A"/>
    <w:rsid w:val="00F86C53"/>
    <w:rsid w:val="00F90FE5"/>
    <w:rsid w:val="00F9411D"/>
    <w:rsid w:val="00F97375"/>
    <w:rsid w:val="00FA3521"/>
    <w:rsid w:val="00FA6E68"/>
    <w:rsid w:val="00FB7826"/>
    <w:rsid w:val="00FC39B3"/>
    <w:rsid w:val="00FE2997"/>
    <w:rsid w:val="00FE2E1C"/>
    <w:rsid w:val="00FE3548"/>
    <w:rsid w:val="00FE6601"/>
    <w:rsid w:val="00FF1A20"/>
    <w:rsid w:val="00FF4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7416</TotalTime>
  <Pages>19</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456</cp:revision>
  <dcterms:created xsi:type="dcterms:W3CDTF">2017-10-26T07:15:00Z</dcterms:created>
  <dcterms:modified xsi:type="dcterms:W3CDTF">2017-10-31T11:43:00Z</dcterms:modified>
</cp:coreProperties>
</file>