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>：v1.4（在 v1.3 基础上做规范化重构：修正章节编号、统一表格列名、消除指标矛盾、用词一致性）</w:t>
      </w:r>
    </w:p>
    <w:p>
      <w:r/>
      <w:r>
        <w:rPr>
          <w:b/>
        </w:rPr>
        <w:t>作者</w:t>
      </w:r>
      <w:r>
        <w:t>：王珊珊</w:t>
      </w:r>
    </w:p>
    <w:p>
      <w:r/>
      <w:r>
        <w:rPr>
          <w:b/>
        </w:rPr>
        <w:t>日期</w:t>
      </w:r>
      <w:r>
        <w:t>：2026-05-27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 VLM</w:t>
      </w:r>
      <w:r>
        <w:t>。</w:t>
      </w:r>
    </w:p>
    <w:p/>
    <w:p>
      <w:r>
        <w:t xml:space="preserve">&gt; </w:t>
      </w:r>
      <w:r>
        <w:rPr>
          <w:b/>
        </w:rPr>
        <w:t>v1.4 修订摘要</w:t>
      </w:r>
      <w:r>
        <w:t>（规范化重构，不涉及指标数值变化）：</w:t>
      </w:r>
    </w:p>
    <w:p>
      <w:r>
        <w:t xml:space="preserve">&gt; 1. </w:t>
      </w:r>
      <w:r>
        <w:rPr>
          <w:b/>
        </w:rPr>
        <w:t>章节编号修正</w:t>
      </w:r>
      <w:r>
        <w:t>：原 §2.0 / §2.0.1（不规范的 0 编号）改为 §2 前言段（无子编号）；原 §6.5 端到端业务域响应表 提升为独立的 §7；原 §7 异常兜底顺延为 §8；原 §8 验收标准顺延为 §9。§7 内部从 A/B/C/D/E 字母编号改为 §7.1~§7.5 数字编号</w:t>
      </w:r>
    </w:p>
    <w:p>
      <w:r>
        <w:t xml:space="preserve">&gt; 2. </w:t>
      </w:r>
      <w:r>
        <w:rPr>
          <w:b/>
        </w:rPr>
        <w:t>表格列名统一</w:t>
      </w:r>
      <w:r>
        <w:t>：所有模块指标表统一为 5 列：`子功能 | 指标 | shall | should | 测试条件`。原 §2.6 MOS/发音准确率"核心/体验"分两行的写法合并为一行双列</w:t>
      </w:r>
    </w:p>
    <w:p>
      <w:r>
        <w:t xml:space="preserve">&gt; 3. </w:t>
      </w:r>
      <w:r>
        <w:rPr>
          <w:b/>
        </w:rPr>
        <w:t>§2.2 多模态前端指标重复修复</w:t>
      </w:r>
      <w:r>
        <w:t>：原"声视融合锁定 / 说话人正确锁定率 92%" 与 "多人仲裁 / 目标说话人正确选择率 88%" 合并为同一指标"目标说话人正确选择率"在单人/2 人两个场景；新增缺失的"处理时延 ≤ 50 ms"行（原 §6 时延预算表已写但 §2.2 缺）</w:t>
      </w:r>
    </w:p>
    <w:p>
      <w:r>
        <w:t xml:space="preserve">&gt; 4. </w:t>
      </w:r>
      <w:r>
        <w:rPr>
          <w:b/>
        </w:rPr>
        <w:t>§2.4 ASR 矛盾修复</w:t>
      </w:r>
      <w:r>
        <w:t>：删除原"安静环境 SNR ≥ 25 dB"测试条件（与 §2 统一工况 SNR ~20 dB 矛盾），全部对齐 §2 统一工况；统一 ASR 时延术语，全文只保留"首字上屏延迟"（计时起点：说话开始 → ASR 首字输出），删除并入"出文延迟"概念</w:t>
      </w:r>
    </w:p>
    <w:p>
      <w:r>
        <w:t xml:space="preserve">&gt; 5. </w:t>
      </w:r>
      <w:r>
        <w:rPr>
          <w:b/>
        </w:rPr>
        <w:t>用词一致性</w:t>
      </w:r>
      <w:r>
        <w:t>：CER / WRR / FAR / ERLE / DOA / MOS / TTFT 等缩写全文统一不再加中文括号；章节标题去后缀"——核心指标基线"</w:t>
      </w:r>
    </w:p>
    <w:p>
      <w:r>
        <w:t>&gt;</w:t>
      </w:r>
    </w:p>
    <w:p>
      <w:r>
        <w:t xml:space="preserve">&gt; </w:t>
      </w:r>
      <w:r>
        <w:rPr>
          <w:b/>
        </w:rPr>
        <w:t>v1.3 修订</w:t>
      </w:r>
      <w:r>
        <w:t>（保留）：加入 §2 测试工况统一约定 + §7 端到端业务域响应表（参考海外公版车端项目 Excel）+ 每模块指标依据段（73 处溯源标注 S1/S2/S3/S4）+ §7.5 多语种小语种核心 3 种（英语/粤语/日语）</w:t>
      </w:r>
    </w:p>
    <w:p>
      <w:r>
        <w:t xml:space="preserve">&gt; </w:t>
      </w:r>
      <w:r>
        <w:rPr>
          <w:b/>
        </w:rPr>
        <w:t>v1.2 修订</w:t>
      </w:r>
      <w:r>
        <w:t>（保留）：显式 VLM 不在范围；TTS MOS 双层；危险指令 100% 拦截不分层</w:t>
      </w:r>
    </w:p>
    <w:p>
      <w:r>
        <w:t xml:space="preserve">&gt; </w:t>
      </w:r>
      <w:r>
        <w:rPr>
          <w:b/>
        </w:rPr>
        <w:t>v1.1 修订</w:t>
      </w:r>
      <w:r>
        <w:t>（保留）：波束成形阵型对齐；端到端时延规则/LLM 双通道；声视对齐放宽至 40 ms；TTS 多音字 95%/98% 双层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v1.4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 PRD 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 VLM 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</w:t>
      </w:r>
    </w:p>
    <w:p/>
    <w:p>
      <w:pPr>
        <w:pStyle w:val="Heading3"/>
      </w:pPr>
      <w:r>
        <w:rPr>
          <w:color w:val="1F497D"/>
        </w:rPr>
        <w:t>测试工况统一约定（参考海外公版端到端响应规范）</w:t>
      </w:r>
    </w:p>
    <w:p/>
    <w:p>
      <w:r>
        <w:t>&gt; 本 SOR 所有性能指标若未单独标注场景，默认按以下统一工况测试。供应商不得擅自更换更宽松条件复测。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机器人本体状态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静止站立（关节微动作可接受）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麦克风处环境噪声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麦克风处语音声压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说话人距离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 m（基线）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中文（一期）；中英文混读单独验收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300 ms（国内项目设定；端到端响应比海外 500 ms 设置多约 200 ms）</w:t>
            </w:r>
          </w:p>
        </w:tc>
      </w:tr>
    </w:tbl>
    <w:p/>
    <w:p/>
    <w:p>
      <w:r/>
      <w:r>
        <w:rPr>
          <w:b/>
        </w:rPr>
        <w:t>运动场景补充工况</w:t>
      </w:r>
      <w:r>
        <w:t>（仅 §2.3 §2.4 中标"运动状态"行使用）：</w:t>
      </w:r>
    </w:p>
    <w:p>
      <w:r>
        <w:t>机器人步行 ≤ 1 m/s，关节电机噪声叠加在 45-50 dBA 环境底噪上，其他参数同上。</w:t>
      </w:r>
    </w:p>
    <w:p/>
    <w:p>
      <w:pPr>
        <w:pStyle w:val="Heading3"/>
      </w:pPr>
      <w:r>
        <w:rPr>
          <w:color w:val="1F497D"/>
        </w:rPr>
        <w:t>指标来源说明（Rationale Sources）</w:t>
      </w:r>
    </w:p>
    <w:p/>
    <w:p>
      <w:r>
        <w:t>&gt; 本 SOR 所有数值指标的依据可溯源到以下 4 大类。每个模块表下方的"指标依据"段会逐项标注来源代号 [S1]~[S4]。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代号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来源类别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具体内容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**[S1]**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**国际行业基线**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ITU-T P.862 PESQ / P.863 POLQA / G.168 AEC / AISHELL-2 ASR 评测集 / ITU-T P.800 MOS / NIST OpenSAT 等公开标准与基准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**[S2]**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**国内主流厂商产品级实测**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讯飞 Spark 4.0 Turbo / 思必驰 DUI / 云知声 UniVoice / 出门问问 SerVerb / 字节火山引擎 / 阿里达摩 DashScope 等厂商公开白皮书或客户 POC 实测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**[S3]**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**海外公版车端项目对标**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用户提供的「海外公版端到端响应速度指标 Excel」（含极氪/领克/一汽对标值），其方法论与数值映射至机器人场景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**[S4]**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**物理 / 工程约束**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例：30 fps 视觉单帧周期 33.3 ms（声视同步上限）；10·log₁₀(N) 阵列增益理论上限；ARM A78 单核单帧推理时间等</w:t>
            </w:r>
          </w:p>
        </w:tc>
      </w:tr>
    </w:tbl>
    <w:p/>
    <w:p/>
    <w:p>
      <w:r/>
      <w:r>
        <w:rPr>
          <w:b/>
        </w:rPr>
        <w:t>指标选型方法</w:t>
      </w:r>
      <w:r>
        <w:t>：先 [S1] 锚定行业方向 → 再 [S2] 校准国内可达水平 → 用 [S3] 修正口径与端到端基线 → [S4] 兜底物理可行性。</w:t>
      </w:r>
      <w:r>
        <w:rPr>
          <w:b/>
        </w:rPr>
        <w:t>不取学术 SOTA，不取国际顶尖供应商最高水平</w:t>
      </w:r>
      <w:r>
        <w:t>，确保国内主流供应商可投标。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2.1 纯声学前端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回声抑制量 ERLE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 播放 90 dBSPL，1 m 距离，机器人静止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-40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-45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改善量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统一工况，65 dBA 语音叠加 50 dBA 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语音失真 DMOS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 分制对参考语音盲测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18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墨甲电机全速运转，麦距 30 cm（评测基准；实机按实际安装距离复测，按 6 dB/倍距折算）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自动增益 AGC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cm – 3 m 范围说话人，正常音量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波束成形（6 阵元圆阵）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6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目标 0°，旁瓣 90°，远场弥散噪声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波束成形（4 阵元线阵，降级硬件）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同上；4 元理论上限 6 dB，工程留余量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16 kHz 单帧处理，ARM Cortex-A78 单核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AEC ERLE ≥ 30 dB：[S1] ITU-T G.168 中等量级回声消除标准；[S2] 国内主流声学厂商（声智/讯飞）1 m 距离实测 30-40 dB</w:t>
      </w:r>
    </w:p>
    <w:p>
      <w:pPr>
        <w:pStyle w:val="ListBullet"/>
      </w:pPr>
      <w:r>
        <w:t>NS SNR 改善 ≥ 10 dB：[S1] ITU-T P.835；[S2] 国内主流方案在 50 dBA 底噪下产品级实测 8-12 dB</w:t>
      </w:r>
    </w:p>
    <w:p>
      <w:pPr>
        <w:pStyle w:val="ListBullet"/>
      </w:pPr>
      <w:r>
        <w:t>结构噪声抑制 ≥ 15 dB：[S2] 声智/讯飞机器人/车载客户案例；[S4] 关节电机谐波集中在 200-2000 Hz，可用窄带 NS 重点抑制</w:t>
      </w:r>
    </w:p>
    <w:p>
      <w:pPr>
        <w:pStyle w:val="ListBullet"/>
      </w:pPr>
      <w:r>
        <w:t>AGC -26 dBFS：[S1] 移动设备语音上传通用归一化目标（YouTube / WebRTC / Microsoft Speech 一致）</w:t>
      </w:r>
    </w:p>
    <w:p>
      <w:pPr>
        <w:pStyle w:val="ListBullet"/>
      </w:pPr>
      <w:r>
        <w:t>波束成形增益：[S4] 远场弥散噪声下阵列增益理论上限 = 10·log₁₀(N)，6 元 7.8 dB / 4 元 6.0 dB，工程留 1-2 dB 余量</w:t>
      </w:r>
    </w:p>
    <w:p>
      <w:pPr>
        <w:pStyle w:val="ListBullet"/>
      </w:pPr>
      <w:r>
        <w:t>处理时延 ≤ 30 ms：[S4] 16 kHz 双帧缓冲 + ARM A78 单核 NS+AEC 实测 12-25 ms；[S3] 海外公版总预算分配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2.2 多模态前端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声源定向 DOA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方位角误差 P90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水平 ±90° 范围，1-3 m，§2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目标说话人选择（单人场景）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单说话人，1-3 m，正面 180°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目标说话人选择（2 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 人同时发言，距离差 ≥ 0.5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声视时间对齐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视觉 30 fps，声学 16 kHz；should 需硬件 PTP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跟踪切换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说话人以 1 m/s 横向移动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 §6 时延预算表对齐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DOA 方位角 ≤ 15°：[S2] 6 阵元圆阵商用 DOA 方案（声智/讯飞）实测 P90 10-15°</w:t>
      </w:r>
    </w:p>
    <w:p>
      <w:pPr>
        <w:pStyle w:val="ListBullet"/>
      </w:pPr>
      <w:r>
        <w:t>目标说话人正确选择率 单人 92% / 2 人 88%：[S2] 猎户星空机器人 + 字节豆包多模态客户案例参考值</w:t>
      </w:r>
    </w:p>
    <w:p>
      <w:pPr>
        <w:pStyle w:val="ListBullet"/>
      </w:pPr>
      <w:r>
        <w:t>声视时间对齐 ≤ 40 ms：[S4] 视觉 30 fps 单帧周期 33.3 ms，纯软件时间戳同步可达一帧量级；硬件 PTP 可至 ≤ 20 ms（should，一期不强制）</w:t>
      </w:r>
    </w:p>
    <w:p>
      <w:pPr>
        <w:pStyle w:val="ListBullet"/>
      </w:pPr>
      <w:r>
        <w:t>跟踪切换 ≤ 200 ms：[S1] 视觉跟踪 + 声学跟踪联合切换的人因感知阈值（用户感知"无延迟"上限约 250 ms）</w:t>
      </w:r>
    </w:p>
    <w:p>
      <w:pPr>
        <w:pStyle w:val="ListBullet"/>
      </w:pPr>
      <w:r>
        <w:t>处理时延 ≤ 50 ms：[S4] ARM A78 单核 DOA + 声视融合实测 30-45 ms；[S3] 海外公版预算分配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2.3 唤醒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99%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统一工况，1 m，0° 正面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WRR（远场）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 m，±45°，§2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机器人步行，1 m，§2 运动场景补充工况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误唤醒率 FAR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全天候误触发次数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端侧模型大小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模型文件大小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待机功耗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唤醒模块平均功耗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NPU 独立运行，其余模块休眠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说完唤醒词 → 唤醒事件触发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统一工况，**含系统播放器延迟 ≤ 50 ms**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唤醒检测延迟（内部预算）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唤醒词结束 → 模型置信度输出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仅算法侧，不含播放器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WRR 97% / 90% / 85%：[S2] 讯飞、思必驰、声智量产唤醒方案在对应场景下的客户上线水平</w:t>
      </w:r>
    </w:p>
    <w:p>
      <w:pPr>
        <w:pStyle w:val="ListBullet"/>
      </w:pPr>
      <w:r>
        <w:t>FAR ≤ 1 次/8h：[S1] Google Assistant / Amazon Alexa 公开误唤醒标杆（典型家庭 24h ≤ 3 次）；[S2] 国内主流方案 8h 实测 0.5-1 次</w:t>
      </w:r>
    </w:p>
    <w:p>
      <w:pPr>
        <w:pStyle w:val="ListBullet"/>
      </w:pPr>
      <w:r>
        <w:t>模型 ≤ 10 MB / 待机功耗 ≤ 0.5 W：[S2] 端侧主流唤醒模型 100 KB-2 MB，本 SOR 留余量给小数据集定制；功耗对齐独立 NPU 待机水平</w:t>
      </w:r>
    </w:p>
    <w:p>
      <w:pPr>
        <w:pStyle w:val="ListBullet"/>
      </w:pPr>
      <w:r>
        <w:t>唤醒响应 ≤ 350 ms：[S3] 海外公版车端项目实测基线（含播放器延迟 ≤ 50 ms）；[S2] 国内主流方案 250-350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2.4 识别 ASR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句标准测试集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统一工况，AISHELL-2 / WenetSpeech 兼容评测脚本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运动场景补充工况，1 m 距离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首字上屏延迟（在线）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统一工况，含网络传输耗时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首字上屏延迟（离线）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统一工况，本地模型；小语种比中文多 ~200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热词召回率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条注入热词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每词测试 10 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标点预测准确率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句级标点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句测试，人工标注对比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端点检测误切断率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停顿 ≤ 800 ms 不断句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1.5%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句含停顿语料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CER 统一工况 ≤ 5% / 运动状态 ≤ 15%：[S1] AISHELL-2 / WenetSpeech 公开评测集普通话 ASR 基准；[S2] 讯飞 / 阿里 Paraformer / 字节火山在对应场景客户实测</w:t>
      </w:r>
    </w:p>
    <w:p>
      <w:pPr>
        <w:pStyle w:val="ListBullet"/>
      </w:pPr>
      <w:r>
        <w:t>首字上屏延迟 在线 ≤ 900 / 离线 ≤ 850：[S3] 海外公版；国内对标极氪 700 / 领克 650 / 一汽 700；离线少网络传输耗时；小语种 +200 ms 来自海外公版备注</w:t>
      </w:r>
    </w:p>
    <w:p>
      <w:pPr>
        <w:pStyle w:val="ListBullet"/>
      </w:pPr>
      <w:r>
        <w:t>热词召回 ≥ 95%：[S2] 阿里 DashScope Paraformer / 讯飞流式 ASR 热词包客户上线门槛</w:t>
      </w:r>
    </w:p>
    <w:p>
      <w:pPr>
        <w:pStyle w:val="ListBullet"/>
      </w:pPr>
      <w:r>
        <w:t>标点预测 ≥ 90%：[S1] Google Cloud Speech 标点服务公开基准；[S2] 国内厂商 88-92%</w:t>
      </w:r>
    </w:p>
    <w:p>
      <w:pPr>
        <w:pStyle w:val="ListBullet"/>
      </w:pPr>
      <w:r>
        <w:t>端点检测误切断 ≤ 3% / VAD pause 300 ms：[S3] 海外公版备注 "国内项目 VAD pause 300 ms（海外 500 ms），端到端比海外多 200 ms"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2.5 中枢系统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94%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条标注集（运动/查询/任务/闲聊/无效 各 100 条）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同测试集，动作/对象/位置/时间 4 类槽位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组多轮（≤ 5 轮），含代词/省略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规则引擎路由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路由准确率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99%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条无歧义明确指令，规则覆盖范围内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条简单指令稳态分流统计；剩余进入 LLM 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LLM 不可用时规则兜底覆盖率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高频指令集，断网状态测试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处理延迟（规则路径）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意图解析 + 路由下发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处理延迟（LLM 路径，P99）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 + 云端 LLM 推理；指令长度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条预设危险指令；**安全不分层**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意图准确率 ≥ 90% / 槽位 ≥ 88%：[S1] ATIS/Snips 公开 NLU 评测；[S2] 思必驰 DUI / 阿里小蜜对话引擎客户上线水平</w:t>
      </w:r>
    </w:p>
    <w:p>
      <w:pPr>
        <w:pStyle w:val="ListBullet"/>
      </w:pPr>
      <w:r>
        <w:t>多轮指代消解 ≥ 85%：[S2] 思必驰 / 百度 Unit 多轮对话引擎实测；学术 SOTA 90%+ 但工程稳定值 85%</w:t>
      </w:r>
    </w:p>
    <w:p>
      <w:pPr>
        <w:pStyle w:val="ListBullet"/>
      </w:pPr>
      <w:r>
        <w:t>规则路由准确率 ≥ 98%：[S2] 规则引擎本质是确定性匹配，国内引擎（思必驰 / Rasa）在覆盖范围内可达 99%+</w:t>
      </w:r>
    </w:p>
    <w:p>
      <w:pPr>
        <w:pStyle w:val="ListBullet"/>
      </w:pPr>
      <w:r>
        <w:t>规则路由覆盖率 ≥ 80%（稳态）/ 兜底 ≥ 80%（故障态）：[S2] 国内主流车载/IOT 语音助手统计：简单确定性指令占 70-85%</w:t>
      </w:r>
    </w:p>
    <w:p>
      <w:pPr>
        <w:pStyle w:val="ListBullet"/>
      </w:pPr>
      <w:r>
        <w:t>LLM 路径 ≤ 3000 ms (P99)：[S2] 讯飞 Spark 4 Turbo / 阿里 Qwen2.5-72B 含 RTT P99 实测 2.5-3 秒</w:t>
      </w:r>
    </w:p>
    <w:p>
      <w:pPr>
        <w:pStyle w:val="ListBullet"/>
      </w:pPr>
      <w:r>
        <w:t>危险指令拦截 100%：[S1] ISO 26262 安全完整性等级 + 白名单可保证；安全指标不分层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2.6 TTS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自然度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主观音质评分 MOS（5 分制）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盲测，≥ 20 名听测人，100 句测试语料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首音频帧延迟 TTFT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句长 ≤ 20 字，云端合成，**不含网络 RTT**（RTT 单独预算见 §6）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 字句完整输出时长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同上，不含网络 RTT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发音准确率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句含多音字与墨甲专有名词测试集（含定制词典）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句含英文的测试语料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询问/确认/警告/闲聊 4 类各 25 句，盲测打分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MOS shall ≥ 4.1 / should ≥ 4.3：[S1] ITU-T P.800 主观评测 5 分制；[S2] 讯飞 SuperVoice / 字节火山 / 出门问问魔音工坊主流 TTS 实测区间 4.1-4.4</w:t>
      </w:r>
    </w:p>
    <w:p>
      <w:pPr>
        <w:pStyle w:val="ListBullet"/>
      </w:pPr>
      <w:r>
        <w:t>TTFT ≤ 200 ms（不含 RTT）：[S2] 阿里 CosyVoice 2 / 火山语音合成大模型版云端实测 120-180 ms</w:t>
      </w:r>
    </w:p>
    <w:p>
      <w:pPr>
        <w:pStyle w:val="ListBullet"/>
      </w:pPr>
      <w:r>
        <w:t>发音准确率 shall ≥ 95% / should ≥ 98%：[S2] 国内 TTS 在定制词典加持下 95-97% 产品级稳定值；98% 为长期优化目标</w:t>
      </w:r>
    </w:p>
    <w:p>
      <w:pPr>
        <w:pStyle w:val="ListBullet"/>
      </w:pPr>
      <w:r>
        <w:t>中英混读 ≥ 95%：[S2] 国内主流 TTS 中英混读基线</w:t>
      </w:r>
    </w:p>
    <w:p>
      <w:pPr>
        <w:pStyle w:val="ListBullet"/>
      </w:pPr>
      <w:r>
        <w:t>情感适配 ≥ 85%：[S2] 端到端神经 TTS 情感标签可控生成的工程稳定区间</w:t>
      </w:r>
    </w:p>
    <w:p>
      <w:pPr>
        <w:pStyle w:val="ListBullet"/>
      </w:pPr>
      <w:r>
        <w:t>嘴型同步 ≤ 40 ms：[S4] 25 fps 嘴型驱动单帧周期 40 ms，字级时间戳同步一帧周期即可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2.7 大模型功能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 VLM 能力</w:t>
      </w:r>
      <w:r>
        <w:t>。供应商投标本模块时不得绑定 VLM 报价。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条复杂多轮指令测试集，含 moveArm / navigate / 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条预设危险指令，安全层过滤前测试；**安全不分层**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 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 P@3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条墨甲知识库查询，人工标注对比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ms，指令长度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P99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指令集，本地 7B 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 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条简单指令，与 §2.5 稳态分流一致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Function Call ≥ 85%：[S2] 讯飞 Spark 4 Turbo 90% / 阿里 Qwen2.5-72B 94% / 字节豆包 92% 实测；shall 设 85% 给思必驰 LLM 留余量</w:t>
      </w:r>
    </w:p>
    <w:p>
      <w:pPr>
        <w:pStyle w:val="ListBullet"/>
      </w:pPr>
      <w:r>
        <w:t>危险指令拦截 100%：[S1] ISO 26262 + 安全白名单可保证；安全不分层</w:t>
      </w:r>
    </w:p>
    <w:p>
      <w:pPr>
        <w:pStyle w:val="ListBullet"/>
      </w:pPr>
      <w:r>
        <w:t>RAG P@3 ≥ 80%：[S2] 国内主流向量检索（BGE-large-zh / GTE）在 100 文档量级实测 75-90%</w:t>
      </w:r>
    </w:p>
    <w:p>
      <w:pPr>
        <w:pStyle w:val="ListBullet"/>
      </w:pPr>
      <w:r>
        <w:t>云端推理 P95 ≤ 2000 / P99 ≤ 3000：[S2] Claude Sonnet / 阿里 Qwen / 字节豆包含 RTT 实测</w:t>
      </w:r>
    </w:p>
    <w:p>
      <w:pPr>
        <w:pStyle w:val="ListBullet"/>
      </w:pPr>
      <w:r>
        <w:t>本地降级 ≥ 80%：[S2] 7B 量化模型在 Top 100 高频指令的实测稳定区间</w:t>
      </w:r>
    </w:p>
    <w:p>
      <w:pPr>
        <w:pStyle w:val="ListBullet"/>
      </w:pPr>
      <w:r>
        <w:t>上下文 4 轮连贯 ≥ 88%：[S2] 国内对话引擎多轮稳定性平均水平</w:t>
      </w:r>
    </w:p>
    <w:p>
      <w:pPr>
        <w:pStyle w:val="ListBullet"/>
      </w:pPr>
      <w:r>
        <w:t>简单指令规则覆盖 ≥ 80%：[S2] 国内车载/IOT 语音助手稳态分流统计（规则 75-85% / LLM 15-25%）</w:t>
      </w:r>
    </w:p>
    <w:p/>
    <w:p>
      <w:r>
        <w:t xml:space="preserve">&gt; </w:t>
      </w:r>
      <w:r>
        <w:rPr>
          <w:b/>
        </w:rPr>
        <w:t>关于 LLM 通用能力基准（MMMLU / CMMLU / GSM8K / BBH / TruthfulQA / CoT）</w:t>
      </w:r>
      <w:r>
        <w:t>：第一版（0→1）不纳入本 SOR 验收；二期再补，用于供应商资格筛查与模型版本变更回归。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/ 商业服务 / 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+ 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 阵元圆形阵列，48 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 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 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 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自动映射最近似模块，文档头部标注「已映射为：XXX，如有误请纠正」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 ≥ 2 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任何情况下首先执行，失败则终止后续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确认模块名称 / 追问话术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1 通过后必须执行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该模块指标基线（内部）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第 2 章对应指标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三级指标表格（核心/体验/监控）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不可跳过，覆盖 ≥ 5 类，含触发条件量化值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3~6 产出物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最终 PRD 文档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8，不可倒置、合并、省略。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 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5 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</w:t>
      </w:r>
      <w:r>
        <w:t>：</w:t>
      </w:r>
    </w:p>
    <w:p>
      <w:pPr>
        <w:pStyle w:val="ListBullet"/>
      </w:pPr>
      <w:r>
        <w:t>字错误率 CER ≤ 5%（§2 统一工况，500 句标准测试集，AISHELL-2 评测脚本）</w:t>
      </w:r>
    </w:p>
    <w:p>
      <w:pPr>
        <w:pStyle w:val="ListBullet"/>
      </w:pPr>
      <w:r>
        <w:t>唤醒率 WRR ≥ 97%（§2 统一工况，1 m，0° 正面，100 次重复测试）</w:t>
      </w:r>
    </w:p>
    <w:p>
      <w:pPr>
        <w:pStyle w:val="ListBullet"/>
      </w:pPr>
      <w:r>
        <w:t>TTS 首帧延迟 TTFT ≤ 200 ms（句长 ≤ 20 字，云端合成，Wireshark 抓包计时）</w:t>
      </w:r>
    </w:p>
    <w:p/>
    <w:p>
      <w:r/>
      <w:r>
        <w:rPr>
          <w:b/>
        </w:rPr>
        <w:t>不合格示例（禁止出现）</w:t>
      </w:r>
      <w:r>
        <w:t>：</w:t>
      </w:r>
    </w:p>
    <w:p>
      <w:pPr>
        <w:pStyle w:val="ListBullet"/>
      </w:pPr>
      <w:r>
        <w:t>~~识别准确率较高~~ → 无数值</w:t>
      </w:r>
    </w:p>
    <w:p>
      <w:pPr>
        <w:pStyle w:val="ListBullet"/>
      </w:pPr>
      <w:r>
        <w:t>~~延迟 ≤ 200 ms~~ → 无测试条件</w:t>
      </w:r>
    </w:p>
    <w:p>
      <w:pPr>
        <w:pStyle w:val="ListBullet"/>
      </w:pPr>
      <w:r>
        <w:t>~~唤醒效果好~~ → 主观描述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 WRR 统一工况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§2 统一工况下 1 m 处朗读唤醒词 100 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 pass/fail 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 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 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 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 ≥ 5 行，性能指标 ≥ 8 行，异常处理 ≥ 5 行，验收标准 ≥ 8 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 PRD 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 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 shall/should 双层 + 数值 + 单位 + 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无法量化时填「[待测试集确定，参考建议：XXX]」，不留空，不填"待定"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 100% 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 §2 统一工况 ≤ 800 ms / 运动状态 ≤ 1200 ms；**LLM 路径** ≤ 3500 ms / 运动状态 ≤ 4000 ms（P95）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生成每模块时标注该模块在规则/LLM 路径中的时延预算占比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6.1 端到端时延预算分配表（内部分配，模块级）</w:t>
      </w:r>
    </w:p>
    <w:p/>
    <w:p>
      <w:r/>
      <w:r>
        <w:rPr>
          <w:b/>
        </w:rPr>
        <w:t>A. 规则路径</w:t>
      </w:r>
      <w:r>
        <w:t>（简单确定性指令，覆盖率 ≥ 80%）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ms**（目标 ≤ 800 ms，含余量预警）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ms**（目标 ≤ 1200 ms）</w:t>
            </w:r>
          </w:p>
        </w:tc>
      </w:tr>
    </w:tbl>
    <w:p/>
    <w:p/>
    <w:p>
      <w:r/>
      <w:r>
        <w:rPr>
          <w:b/>
        </w:rPr>
        <w:t>B. LLM 路径</w:t>
      </w:r>
      <w:r>
        <w:t>（复杂/模糊指令，覆盖率 ≤ 20%）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 P95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 P95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中枢（LLM 路由 + 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M7 云端 LLM 推理（含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 P95**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ms**（目标 ≤ 3500 ms）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ms**（目标 ≤ 4000 ms）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 路径下，规则引擎应在 ≤ 800 ms（统一工况）/ ≤ 1200 ms（运动状态）内先返回首字反馈（如「让我想一下」），LLM 真实结果到达后再继续语音输出，避免用户感知 3 秒级"卡顿"。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端到端响应规范（对外承诺，参考海外公版基线）</w:t>
      </w:r>
    </w:p>
    <w:p/>
    <w:p>
      <w:r>
        <w:t>&gt; 业务域分类来源于海外公版端到端响应规范（车端：车控 / 电话 / 地图 / 多媒体 / 天气 / 首字上屏），映射至机器人场景。</w:t>
      </w:r>
    </w:p>
    <w:p>
      <w:r>
        <w:t>&gt; 测试工况：§2 统一工况</w:t>
      </w:r>
    </w:p>
    <w:p>
      <w:r>
        <w:t>&gt; 计时口径：用户说完最后一字 → 机器人首字 TTS 输出 / 内部 API 调用下发</w:t>
      </w:r>
    </w:p>
    <w:p/>
    <w:p>
      <w:pPr>
        <w:pStyle w:val="Heading3"/>
      </w:pPr>
      <w:r>
        <w:rPr>
          <w:color w:val="1F497D"/>
        </w:rPr>
        <w:t>7.1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机器人对应场景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 → 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≤ 350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移动/转身/抓取/手势/姿态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车控 1500（极氪 1500 / 领克 1300）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信息查询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时间/状态/简单本地知识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天气 2500（极氪 1500 / 领克 2000）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多媒体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音乐/视频/播放控制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多媒体 2200（极氪 2200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任务执行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多步骤组合任务（含云端 API 链）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地图 2500（极氪 2100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对话闲聊（LLM 路径，P95）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开放域闲聊 / 复杂语义理解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电话 1700 + LLM 推理 ~1300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900 / 一汽 700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车控 1400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信息查询（本地 KB）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电话 1500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海外 850 / 极氪 700 / 领克 650 / 一汽 650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多媒体 / 任务执行 / 对话闲聊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7.3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Function Call 正确 ∧ API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同，含信息源返回成功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运动状态全任务成功率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同测试集，§2 运动场景补充工况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7.4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4G 信号丢失 → 本地切换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隧道场景模拟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切换瞬间发出的指令不丢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 → 云端恢复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信号恢复后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7.5 多语种支持（一期范围 + 小语种核心 3 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语种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一期范围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首字上屏延迟（在线）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中文（普通话）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基线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英语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国际市场必备；小语种比中文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粤语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港澳 + 海外华人；同上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日语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出海日本服务机器人市场；同上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韩语 / 西班牙语 / 阿拉伯语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二期备选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7.6 业务域 / 端到端 / 多语种 指标依据</w:t>
      </w:r>
    </w:p>
    <w:p/>
    <w:p>
      <w:pPr>
        <w:pStyle w:val="ListBullet"/>
      </w:pPr>
      <w:r>
        <w:t>唤醒响应 ≤ 350 ms：[S3] 海外公版车端项目实测基线（含播放器延迟 ≤ 50 ms）；[S2] 国内主流 250-350 ms</w:t>
      </w:r>
    </w:p>
    <w:p>
      <w:pPr>
        <w:pStyle w:val="ListBullet"/>
      </w:pPr>
      <w:r>
        <w:t>本体控制 ≤ 1500 ms：[S3] 海外车控 1500 ms 映射；[S2] 极氪 1500 / 领克 1300；机器人本体控制（移动/抓取）与车控的 API 调用复杂度同量级</w:t>
      </w:r>
    </w:p>
    <w:p>
      <w:pPr>
        <w:pStyle w:val="ListBullet"/>
      </w:pPr>
      <w:r>
        <w:t>信息查询 ≤ 2200 ms：[S3] 海外天气 2500 ms 映射回调（机器人本地知识库通常比天气云查询更快）；[S2] 极氪天气 1500 / 领克 2000</w:t>
      </w:r>
    </w:p>
    <w:p>
      <w:pPr>
        <w:pStyle w:val="ListBullet"/>
      </w:pPr>
      <w:r>
        <w:t>多媒体 ≤ 2200 ms：[S3] 海外多媒体 2200 ms 直接对齐；[S2] 极氪 2200 / 领克 2300；信源耗时 ≤ 700 ms 为关键瓶颈</w:t>
      </w:r>
    </w:p>
    <w:p>
      <w:pPr>
        <w:pStyle w:val="ListBullet"/>
      </w:pPr>
      <w:r>
        <w:t>任务执行 ≤ 2500 ms：[S3] 海外地图 2500 ms 映射（多步骤 + 多 API 链场景类似）；[S2] 极氪 2100 / 领克 2300；信源耗时 ≤ 800 ms + 一次额外云端交互 200 ms</w:t>
      </w:r>
    </w:p>
    <w:p>
      <w:pPr>
        <w:pStyle w:val="ListBullet"/>
      </w:pPr>
      <w:r>
        <w:t>对话闲聊 ≤ 3000 ms (P95)：[S2] 讯飞 Spark 4 Turbo / 阿里 Qwen 含 RTT P95 实测 2000 ms；加 ASR 首字上屏 + TTS 首帧 + 中枢路由共 ~1000 ms</w:t>
      </w:r>
    </w:p>
    <w:p>
      <w:pPr>
        <w:pStyle w:val="ListBullet"/>
      </w:pPr>
      <w:r>
        <w:t>ASR 首字上屏 在线 ≤ 900 / 离线 ≤ 850：[S3] 海外公版；国内对标极氪 700 / 领克 650 / 一汽 700；离线少网络传输耗时</w:t>
      </w:r>
    </w:p>
    <w:p>
      <w:pPr>
        <w:pStyle w:val="ListBullet"/>
      </w:pPr>
      <w:r>
        <w:t>小语种首字上屏 +200 ms：[S3] 海外公版 Excel 备注"研究结论小语种首字延迟比中文多 200 ms"</w:t>
      </w:r>
    </w:p>
    <w:p>
      <w:pPr>
        <w:pStyle w:val="ListBullet"/>
      </w:pPr>
      <w:r>
        <w:t>任务成功率 ≥ 92%：[S2] 端到端联合概率 = 0.97（ASR）× 0.95（NLU）× 0.99（FC）≈ 0.91；shall 设 92% 略宽于理论下限</w:t>
      </w:r>
    </w:p>
    <w:p>
      <w:pPr>
        <w:pStyle w:val="ListBullet"/>
      </w:pPr>
      <w:r>
        <w:t>网络切换 ≤ 500 ms：[S1] 4G→Wi-Fi 切换业界标杆（&lt; 1 s 为无感）；[S2] 国内车载主流 200-500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异常兜底规范（Exception Spec）</w:t>
      </w:r>
    </w:p>
    <w:p/>
    <w:p>
      <w:pPr>
        <w:pStyle w:val="Heading3"/>
      </w:pPr>
      <w:r>
        <w:rPr>
          <w:color w:val="1F497D"/>
        </w:rPr>
        <w:t>8.1 Skill 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 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自动映射最近似模块，文档头部标注「已映射为：XXX，如有误请纠正」，继续执行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 ≥ 2 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 2 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 2 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填写「[待实测确定；参考行业基线：XXX]」，不留空，不填"待定"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 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 §6.1 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在该指标下方自动添加「注意：当前值超出本模块时延预算（X ms），需与相邻模块协商调整」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 + 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 条预设危险指令，通过条件：100% 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9. 验收标准（Acceptance Criteria）</w:t>
      </w:r>
    </w:p>
    <w:p/>
    <w:p>
      <w:pPr>
        <w:pStyle w:val="Heading3"/>
      </w:pPr>
      <w:r>
        <w:rPr>
          <w:color w:val="1F497D"/>
        </w:rPr>
        <w:t>9.1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 + 撰写类动词的 50 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 次全部正确触发，触发率 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 20 条非 PRD 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 priority=6 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 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 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 7 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 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 0 条 PRD 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 3 个模块的 PRD，统计性能指标章节中包含数值 + 单位 + 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 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shall/should 双层覆盖率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统计性能指标表中包含 shall 与 should 双列的行数占比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 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 ≥ 5 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 §6.1 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 100% 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 5 次空白输入，检查是否有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 次全部输出追问话术，0 次生成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 ASR 模块 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 + 优先模块询问，无批量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 PRD 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指标字段填「[待实测确定；参考建议：XXX]」，无空白，无"待定"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条未标注来源（[S1]~[S4]）且超出第 2 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5 章节完整，顺序正确，无缺失章节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章节编号一致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全文章节编号连续无跳号（如禁止 §6 下直接出现 §6.5 跳过 §6.1~§6.4）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术语命名一致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CER / WRR / FAR / ERLE / DOA / MOS / TTFT 等缩写全文统一不加中文括号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v1.4 ｜ 与 Voice_AI_Signal_Expert_SKILL.md 配套使用 ｜ 产品指标更新时本 SOR 第 2 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