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</w:rPr>
        <w:t>墨甲机器人语音交互系统 SOR 需求规格说明书</w:t>
      </w:r>
    </w:p>
    <w:p/>
    <w:p>
      <w:r/>
      <w:r>
        <w:rPr>
          <w:b/>
        </w:rPr>
        <w:t>版本</w:t>
      </w:r>
      <w:r>
        <w:t xml:space="preserve">：v1.3（在 v1.2 基础上，参考海外公版端到端响应基线，加入统一测试工况与业务域端到端响应表，并按 0→1 删除非必要细节）  </w:t>
      </w:r>
    </w:p>
    <w:p>
      <w:r/>
      <w:r>
        <w:rPr>
          <w:b/>
        </w:rPr>
        <w:t>作者</w:t>
      </w:r>
      <w:r>
        <w:t xml:space="preserve">：王珊珊  </w:t>
      </w:r>
    </w:p>
    <w:p>
      <w:r/>
      <w:r>
        <w:rPr>
          <w:b/>
        </w:rPr>
        <w:t>日期</w:t>
      </w:r>
      <w:r>
        <w:t xml:space="preserve">：2026-05-27  </w:t>
      </w:r>
    </w:p>
    <w:p>
      <w:r/>
      <w:r>
        <w:rPr>
          <w:b/>
        </w:rPr>
        <w:t>适用系统</w:t>
      </w:r>
      <w:r>
        <w:t>：墨甲机器人语音交互</w:t>
      </w:r>
      <w:r>
        <w:rPr>
          <w:b/>
        </w:rPr>
        <w:t>纯语音链路</w:t>
      </w:r>
      <w:r>
        <w:t>（M1 纯声学前端 / M2 多模态前端 / M3 唤醒 / M4 识别 / M5 中枢系统 / M6 TTS / M7 大模型功能）。</w:t>
      </w:r>
      <w:r>
        <w:rPr>
          <w:b/>
        </w:rPr>
        <w:t>本期不含视觉语言理解（VLM）</w:t>
      </w:r>
      <w:r>
        <w:t>。</w:t>
      </w:r>
    </w:p>
    <w:p/>
    <w:p>
      <w:r>
        <w:t xml:space="preserve">&gt; </w:t>
      </w:r>
      <w:r>
        <w:rPr>
          <w:b/>
        </w:rPr>
        <w:t>v1.3 修订摘要</w:t>
      </w:r>
      <w:r>
        <w:t>（在 v1.2 基础上）：</w:t>
      </w:r>
    </w:p>
    <w:p>
      <w:r>
        <w:t xml:space="preserve">&gt; 1. 新增 </w:t>
      </w:r>
      <w:r>
        <w:rPr>
          <w:b/>
        </w:rPr>
        <w:t>§2.0 测试工况统一约定</w:t>
      </w:r>
      <w:r>
        <w:t>（参考海外公版端到端响应指标 Excel）：噪声 45-50 dBA / 语音声压 65-75 dBA / 语速 220-300 词/min / 内存占用 60-80% / VAD pause time 国内 300 ms（端到端比海外多 200 ms）</w:t>
      </w:r>
    </w:p>
    <w:p>
      <w:r>
        <w:t xml:space="preserve">&gt; 2. 新增 </w:t>
      </w:r>
      <w:r>
        <w:rPr>
          <w:b/>
        </w:rPr>
        <w:t>§6 端到端业务域响应表</w:t>
      </w:r>
      <w:r>
        <w:t>：按机器人 6 类业务域（本体控制 / 信息查询 / 多媒体 / 任务执行 / 对话闲聊 / ASR 首字上屏）独立设定端到端响应上限，数值参考海外公版（车控 1500 / 电话 1700 / 地图 2500 / 多媒体 2200 / 天气 2500 / 首字上屏 900-850）映射至机器人场景</w:t>
      </w:r>
    </w:p>
    <w:p>
      <w:r>
        <w:t xml:space="preserve">&gt; 3. </w:t>
      </w:r>
      <w:r>
        <w:rPr>
          <w:b/>
        </w:rPr>
        <w:t>§3.3 唤醒响应延迟</w:t>
      </w:r>
      <w:r>
        <w:t xml:space="preserve"> 对齐海外公版 ≤ 350 ms（含播放器延迟 ≤ 50 ms）</w:t>
      </w:r>
    </w:p>
    <w:p>
      <w:r>
        <w:t xml:space="preserve">&gt; 4. </w:t>
      </w:r>
      <w:r>
        <w:rPr>
          <w:b/>
        </w:rPr>
        <w:t>§3.4 ASR 出文延迟</w:t>
      </w:r>
      <w:r>
        <w:t xml:space="preserve"> 改名为"首字上屏延迟"，对齐海外公版口径：在线 ≤ 900 ms / 离线 ≤ 850 ms</w:t>
      </w:r>
    </w:p>
    <w:p>
      <w:r>
        <w:t>&gt; 5. 删除 §2.7.2 LLM 通用能力基准 6 项（MMMLU/CMMLU/GSM8K/BBH/TruthfulQA/CoT），0→1 第一版不卡，二期补</w:t>
      </w:r>
    </w:p>
    <w:p>
      <w:r>
        <w:t>&gt; 6. 删除多模态前端 §2.2 "声视时间对齐 ≤ 20 ms 体验指标" 行（0→1 不必要）；唤醒 §2.3 多场景延迟、ASR §2.4 多噪声场景 CER 全部保留</w:t>
      </w:r>
      <w:r>
        <w:rPr>
          <w:b/>
        </w:rPr>
        <w:t>安静工况一行 shall + 运动状态一行 shall</w:t>
      </w:r>
      <w:r>
        <w:t>，删除其余细分档（机器人项目特性必须保留运动状态行）</w:t>
      </w:r>
    </w:p>
    <w:p>
      <w:r>
        <w:t>&gt; 7. 端到端延迟预算表（§6 原 A/B 双路径表）保留作为内部模块预算分配，业务域响应表作为对外承诺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 xml:space="preserve">&gt; </w:t>
      </w:r>
      <w:r>
        <w:rPr>
          <w:b/>
        </w:rPr>
        <w:t>v1.2 修订摘要</w:t>
      </w:r>
      <w:r>
        <w:t>（在 v1.1 基础上）：</w:t>
      </w:r>
    </w:p>
    <w:p>
      <w:r>
        <w:t xml:space="preserve">&gt; 1. 显式声明 </w:t>
      </w:r>
      <w:r>
        <w:rPr>
          <w:b/>
        </w:rPr>
        <w:t>VLM / 视觉语言理解（图像描述 / VQA / OCR / 视觉空间推理 / POPE 等）不在本期范围</w:t>
      </w:r>
      <w:r>
        <w:t>；多模态前端的"视觉"仅指声视联合说话人定向，不做视觉内容理解；供应商不得将 VLM 能力纳入投标与报价</w:t>
      </w:r>
    </w:p>
    <w:p>
      <w:r>
        <w:t xml:space="preserve">&gt; 2. </w:t>
      </w:r>
      <w:r>
        <w:rPr>
          <w:b/>
        </w:rPr>
        <w:t>§2.6 TTS MOS</w:t>
      </w:r>
      <w:r>
        <w:t xml:space="preserve"> 拆为双层指标：核心（shall）≥ 4.1，体验（should）≥ 4.3</w:t>
      </w:r>
    </w:p>
    <w:p>
      <w:r>
        <w:t xml:space="preserve">&gt; 3. </w:t>
      </w:r>
      <w:r>
        <w:rPr>
          <w:b/>
        </w:rPr>
        <w:t>§2.7 大模型功能</w:t>
      </w:r>
      <w:r>
        <w:t xml:space="preserve"> 新增"LLM 通用能力基准（行业基线）"独立子表，全部按双层 shall/should 写明，对齐讯飞 Spark 4.0 Turbo / 思必驰对话 LLM 真实产品线能力：</w:t>
      </w:r>
    </w:p>
    <w:p>
      <w:r>
        <w:t>&gt;    - MMMLU shall ≥ 78% / should ≥ 82%</w:t>
      </w:r>
    </w:p>
    <w:p>
      <w:r>
        <w:t xml:space="preserve">&gt;    - </w:t>
      </w:r>
      <w:r>
        <w:rPr>
          <w:b/>
        </w:rPr>
        <w:t>CMMLU</w:t>
      </w:r>
      <w:r>
        <w:t>（替代 LogiQA，避开 GPT-4 都不到 60% 的硬伤）shall ≥ 70% / should ≥ 75%</w:t>
      </w:r>
    </w:p>
    <w:p>
      <w:r>
        <w:t>&gt;    - GSM8K shall ≥ 70% / should ≥ 80%（讯飞实测 89-94%，68% 反而显得 SOR 不专业）</w:t>
      </w:r>
    </w:p>
    <w:p>
      <w:r>
        <w:t>&gt;    - BBH shall ≥ 73% / should ≥ 80%</w:t>
      </w:r>
    </w:p>
    <w:p>
      <w:r>
        <w:t>&gt;    - TruthfulQA shall ≥ 0.52 / should ≥ 0.58</w:t>
      </w:r>
    </w:p>
    <w:p>
      <w:r>
        <w:t>&gt;    - CoT 完成率 shall ≥ 78% / should ≥ 85%</w:t>
      </w:r>
    </w:p>
    <w:p>
      <w:r>
        <w:t>&gt;    - Function Call shall ≥ 85% / should ≥ 92%（shall 与 v1.1 一致）</w:t>
      </w:r>
    </w:p>
    <w:p>
      <w:r>
        <w:t>&gt;</w:t>
      </w:r>
    </w:p>
    <w:p>
      <w:r>
        <w:t>&gt; v1.1 修订摘要（保留）：(a) 波束成形与默认硬件阵型对齐；(b) 端到端时延预算拆规则/LLM 双通道，新增云端 RTT 独立行；(c) ASR "首词" 重命名为"出文延迟"+ 噪声场景行；(d) 声视对齐放宽至 ≤ 40 ms，硬件 PTP 时 ≤ 20 ms；(e) TTS 多音字 shall ≥ 95% / should ≥ 98%；(f) 区分规则路由覆盖率（稳态）与规则兜底覆盖率（故障态）。详见配套 `SOR_Review_Report_墨甲v2.md`。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1. 技能基本信息（Meta Info）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技能名称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墨甲机器人语音链路需求撰写专家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技能版本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v1.2（基于 v1.1 的供应商可达性校准）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适用产品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墨甲人形机器人语音交互系统（全链路七大模块）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优先级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6（高于通用分析类技能）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文档状态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草稿，待评审</w:t>
            </w:r>
          </w:p>
        </w:tc>
      </w:tr>
    </w:tbl>
    <w:p/>
    <w:p/>
    <w:p>
      <w:r/>
      <w:r>
        <w:rPr>
          <w:b/>
        </w:rPr>
        <w:t>核心适用场景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场景类型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具体描述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核心场景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为七大语音模块逐一撰写标准化产品需求文档（PRD），含功能定义、指标、接口、异常、验收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次要场景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生成单模块性能指标清单、接口规范表、验收用例集</w:t>
            </w:r>
          </w:p>
        </w:tc>
      </w:tr>
    </w:tbl>
    <w:p/>
    <w:p/>
    <w:p>
      <w:r/>
      <w:r>
        <w:rPr>
          <w:b/>
        </w:rPr>
        <w:t>禁用场景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禁用项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异常根因诊断与排查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属于技术运维域，超出产品需求文档范围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竞品语音方案横向对比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数据来源难以核实，易引入未经验证数据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模型训练数据方案、算法优化建议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属于算法研发域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硬件麦克风阵列选型、电路与驱动层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属于硬件工程域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对已有PRD进行润色或局部修改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本技能定位为从零生成，不做增量修改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**视觉语言理解（VLM）相关需求**（图像描述 / 视觉问答 VQA / OCR / 视觉空间推理 / POPE 视觉幻觉评估 / 多图与视频理解）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**本期项目仅覆盖纯语音链路，VLM 不在范围**；多模态前端中的"视觉"仅指消费上游视觉模块已提供的人脸/骨骼坐标用于声视联合定向，不做视觉内容理解；供应商不得将 VLM 能力纳入投标范围与报价</w:t>
            </w:r>
          </w:p>
        </w:tc>
      </w:tr>
    </w:tbl>
    <w:p/>
    <w:p/>
    <w:p>
      <w:r/>
      <w:r>
        <w:rPr>
          <w:b/>
        </w:rPr>
        <w:t>依赖条件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条件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是否必需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缺失处理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目标模块名称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必需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触发追问，列出七大模块选项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业务场景说明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默认墨甲机器人家庭/商业部署场景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文档版本号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默认 v1.0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2. 核心需求（Core Requirement）</w:t>
      </w:r>
    </w:p>
    <w:p/>
    <w:p>
      <w:r>
        <w:t>用户指定七大语音模块之一，本技能自动输出该模块完整的标准化产品需求文档。文档须覆盖功能定义、量化性能指标、上下游接口规范、异常处理策略、可执行验收标准，无需用户二次补充。具体指标要求如下。</w:t>
      </w:r>
    </w:p>
    <w:p/>
    <w:p>
      <w:pPr>
        <w:pStyle w:val="Heading3"/>
      </w:pPr>
      <w:r>
        <w:rPr>
          <w:color w:val="1F497D"/>
        </w:rPr>
        <w:t>2.0 测试工况统一约定（参考海外公版端到端响应规范）</w:t>
      </w:r>
    </w:p>
    <w:p/>
    <w:p>
      <w:r>
        <w:t>&gt; 本 SOR 所有性能指标若未单独标注场景，默认按以下统一工况测试。供应商不得擅自更换更宽松条件复测。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设定值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机器人本体状态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静止站立（关节微动作可接受）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麦克风处环境噪声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45-50 dBA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麦克风处语音声压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65-75 dBA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说话人距离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1 m（基线）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语速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220-300 词/min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语言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中文（一期）；中英文混读单独验收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内存占用率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60%-80%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**VAD pause time**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300 ms（国内项目设定；端到端响应正常比海外 500 ms 设置多约 200 ms）</w:t>
            </w:r>
          </w:p>
        </w:tc>
      </w:tr>
    </w:tbl>
    <w:p/>
    <w:p/>
    <w:p>
      <w:r/>
      <w:r>
        <w:rPr>
          <w:b/>
        </w:rPr>
        <w:t>运动场景补充工况</w:t>
      </w:r>
      <w:r>
        <w:t>（仅 §2.3 §2.4 中标"运动状态"行使用）：</w:t>
      </w:r>
    </w:p>
    <w:p>
      <w:r>
        <w:t>机器人步行 ≤ 1 m/s，关节电机噪声叠加在 45-50 dBA 环境底噪上；其他参数同上。</w:t>
      </w:r>
    </w:p>
    <w:p/>
    <w:p>
      <w:pPr>
        <w:pStyle w:val="Heading3"/>
      </w:pPr>
      <w:r>
        <w:rPr>
          <w:color w:val="1F497D"/>
        </w:rPr>
        <w:t>2.1 纯声学前端信号处理——核心指标基线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核心指标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回声消除（AEC）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回声抑制量（ERLE）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30 dB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TTS播放90dBSPL，1m距离，无运动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回声消除（AEC）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残余回声电平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-40 dBFS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噪声抑制（NS）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SNR改善量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10 dB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工厂噪声底噪65dBSPL叠加人声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噪声抑制（NS）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语音失真度（DMOS）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0.5 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MOS对比参考语音，5分制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噪声抑制（NS）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结构噪声抑制（电机/关节）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15 dB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墨甲电机全速运转，麦克风距电机30cm（评测基准距离；实机部署按实际安装距离复测，按6dB/倍距折算）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增益控制（AGC）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输出电平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-26 dBFS ± 3 dB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30cm~3m范围内说话人，正常音量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波束成形（默认硬件）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主瓣增益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6 dB（**6阵元圆阵**，与§3.2默认硬件对齐）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目标方向0°，旁瓣90°，远场弥散噪声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波束成形（降级硬件）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主瓣增益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4 dB（**4阵元线阵**，4元理论上限6dB，工程值留余量）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目标方向0°，旁瓣90°，远场弥散噪声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整体处理时延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算法延迟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16kHz单帧处理，ARM Cortex-A78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2.2 多模态前端信号处理——核心指标基线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子功能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核心指标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声源定向（DOA）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方位角误差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15°（P90）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水平±90°范围，1~3m，安静环境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声视融合锁定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说话人正确锁定率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单说话人，1~3m，正面180°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多人仲裁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目标说话人正确选择率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2人同时发言，距离差≥0.5m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声视时间对齐误差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时间戳对齐精度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40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视觉30fps，声学16kHz，纯软件时间戳同步（1帧周期同量级）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跟踪切换延迟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说话人移动后重新锁定时间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说话人以1m/s横向移动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2.3 唤醒——核心指标基线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安静近场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唤醒率（WRR）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97%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1m，0°正面，SNR ≥ 25dB，100次测试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噪声远场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唤醒率（WRR）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3m，±45°，SNR ≥ 5dB，100次测试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机器人运动中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唤醒率（WRR）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步行状态，1m，SNR ≥ 10dB，50次测试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全天候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误唤醒率（FAR）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 次/8h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典型家庭环境（电视/音乐背景声）持续播放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端侧部署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模型大小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10 MB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端侧推理，不含语言模型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功耗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唤醒模块待机功耗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0.5 W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NPU独立运行，其余模块休眠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响应速度（统一工况）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唤醒响应时间（说完唤醒词→唤醒事件触发）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350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**对齐海外公版** §2.0 统一工况，含系统播放器延迟 ≤ 50 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响应速度（算法纯延迟，内部预算）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唤醒词检测延迟（不含播放器）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仅算法侧，从唤醒词结束到模型置信度输出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2.4 识别（ASR）——核心指标基线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安静环境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字错误率（CER）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标准500句测试集，SNR ≥ 25dB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噪声环境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字错误率（CER）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同测试集，SNR ≥ 5dB，家庭背景噪声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运动状态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字错误率（CER）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墨甲步行，电机噪声叠加，1m距离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流式首字上屏延迟（在线）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说话开始→ASR 首字输出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900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**对齐海外公版**，§2.0 统一工况，在线含网络传输耗时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流式首字上屏延迟（离线）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说话开始→ASR 首字输出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850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**对齐海外公版**，§2.0 统一工况，离线本地模型；小语种比中文多 ~200 ms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出文延迟（运动状态，机器人特性必保留）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VAD句末触发→最终结果输出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450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机器人步行 ≤ 1 m/s，关节电机噪声叠加，1m 距离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热词召回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热词识别率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100条注入热词，每词测试10次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标点预测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句级标点准确率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200句测试，人工标注对比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端点检测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误切断率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3%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停顿≤800ms不断句，200句含停顿语料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2.5 中枢系统——核心指标基线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意图识别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五类意图分类准确率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500条标注测试集（运动/查询/任务/闲聊/无效各100条）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槽位填充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实体提取准确率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同测试集，动作/对象/位置/时间四类槽位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多轮对话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上下文指代消解准确率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100组多轮对话（≤5轮），含代词/省略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指令路由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规则引擎路由准确率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200条明确指令（无歧义），规则覆盖范围内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路由分流（稳态）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简单指令规则路由覆盖率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200条明确简单指令稳态分流统计；剩余≤20%进入LLM路径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降级策略（故障态）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LLM不可用时规则兜底覆盖率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Top 100高频指令集，断网状态测试；与上一行为不同业务态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处理延迟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意图解析+路由下发延迟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文本输入，规则引擎路径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处理延迟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LLM路径总延迟（云端）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3000 ms（P99）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含网络RTT≤150ms+云端LLM推理；指令长度≤50字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安全拦截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危险动作指令拦截率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50条预设危险指令测试集（含高速/攻击性动作）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2.6 TTS——核心指标基线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自然度（核心，shall）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主观音质评分（MOS）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4.1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盲测，5分制，≥20名听测人，100句测试语料；对齐讯飞/思必驰主流 TTS 实测 4.1-4.3 区间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自然度（体验，should）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主观音质评分（MOS）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4.3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同测试集；列为加分项，对齐讯飞 SuperVoice / 字节火山高保真版水准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流式首帧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首音频帧输出延迟（TTFT）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句长≤20字，云端合成，**不含网络RTT**（网络RTT单独预算见§6）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完整句延迟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20字句完整输出时长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500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同上，不含网络RTT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发音准确率（核心）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多音字/专有名词正确率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200句含多音字和墨甲专有名词测试集（含定制词典）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发音准确率（体验）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多音字/专有名词正确率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同测试集；列为体验指标，作为长期优化目标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中英混读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英文单词/缩写发音正确率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100句含英文的测试语料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情感适配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情感标签正确体现率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询问/确认/警告/闲聊四类，各25句，盲测打分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嘴型同步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字级时间戳误差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40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与视觉嘴型驱动模块联调，逐字对比</w:t>
            </w:r>
          </w:p>
        </w:tc>
      </w:tr>
    </w:tbl>
    <w:p/>
    <w:p/>
    <w:p>
      <w:pPr>
        <w:pStyle w:val="Heading3"/>
      </w:pPr>
      <w:r>
        <w:rPr>
          <w:color w:val="1F497D"/>
        </w:rPr>
        <w:t>2.7 大模型功能——核心指标基线</w:t>
      </w:r>
    </w:p>
    <w:p/>
    <w:p>
      <w:r>
        <w:t xml:space="preserve">&gt; </w:t>
      </w:r>
      <w:r>
        <w:rPr>
          <w:b/>
        </w:rPr>
        <w:t>范围声明</w:t>
      </w:r>
      <w:r>
        <w:t>：本模块仅含纯文本 LLM 推理、RAG、Function Call、上下文管理；</w:t>
      </w:r>
      <w:r>
        <w:rPr>
          <w:b/>
        </w:rPr>
        <w:t>不含任何视觉语言（VLM）能力</w:t>
      </w:r>
      <w:r>
        <w:t>。供应商投标本模块时不得绑定 VLM 报价。</w:t>
      </w:r>
    </w:p>
    <w:p/>
    <w:p>
      <w:pPr>
        <w:pStyle w:val="Heading4"/>
      </w:pPr>
      <w:r>
        <w:rPr>
          <w:color w:val="1F497D"/>
        </w:rPr>
        <w:t>2.7.1 业务能力指标（产品集成层）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shall（核心）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should（体验）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测试条件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Function Call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动作映射正确率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85%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30条复杂多轮指令测试集，含 moveArm/navigate/graspObject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Function Call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危险指令拦截率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50条预设危险指令，安全层过滤前测试；shall 与 should 一致，安全不分层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RAG检索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知识召回相关度（P@3）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100条墨甲知识库查询，人工标注相关文档对比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推理延迟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云端LLM P95延迟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指令长度≤50字，含网络RTT≤150ms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推理延迟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云端LLM P99延迟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同上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本地降级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断网时高频指令覆盖率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Top 100指令集，本地7B量化模型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上下文管理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4轮对话后意图连贯性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100组多轮测试，人工评分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成本控制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简单指令规则路由覆盖率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200条明确简单指令，与§2.5"稳态分流"指标一致</w:t>
            </w:r>
          </w:p>
        </w:tc>
      </w:tr>
    </w:tbl>
    <w:p/>
    <w:p/>
    <w:p>
      <w:r>
        <w:t xml:space="preserve">&gt; </w:t>
      </w:r>
      <w:r>
        <w:rPr>
          <w:b/>
        </w:rPr>
        <w:t>关于 MOS（已迁移至 §2.6）</w:t>
      </w:r>
      <w:r>
        <w:t>：TTS 主观音质评分 shall ≥ 4.1 / should ≥ 4.3，详见 §2.6。</w:t>
      </w:r>
    </w:p>
    <w:p/>
    <w:p>
      <w:r>
        <w:t xml:space="preserve">&gt; </w:t>
      </w:r>
      <w:r>
        <w:rPr>
          <w:b/>
        </w:rPr>
        <w:t>关于 LLM 通用能力基准（MMMLU / CMMLU / GSM8K / BBH / TruthfulQA / CoT）</w:t>
      </w:r>
      <w:r>
        <w:t>：第一版（0→1）不纳入本 SOR 验收；二期再补，用于供应商资格筛查与模型版本变更回归。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3. 输入规范（Input Spec）</w:t>
      </w:r>
    </w:p>
    <w:p/>
    <w:p>
      <w:pPr>
        <w:pStyle w:val="Heading3"/>
      </w:pPr>
      <w:r>
        <w:rPr>
          <w:color w:val="1F497D"/>
        </w:rPr>
        <w:t>3.1 必填输入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输入项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有效值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格式要求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缺失时处理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目标模块名称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纯声学前端 / 多模态前端 / 唤醒 / 识别 / 中枢系统 / TTS / 大模型功能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自然语言，支持模糊映射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停止执行，输出七大模块选项列表，主动追问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3.2 可选输入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输入项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说明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缺失默认值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部署场景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家庭/商业服务/工业协作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家庭+商业混合部署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硬件配置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麦克风阵列型号/数量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6阵元圆形阵列，48kHz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文档版本号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PRD版本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特殊约束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用户追加的墨甲专属限制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按通用指标基线处理</w:t>
            </w:r>
          </w:p>
        </w:tc>
      </w:tr>
    </w:tbl>
    <w:p/>
    <w:p/>
    <w:p>
      <w:pPr>
        <w:pStyle w:val="Heading3"/>
      </w:pPr>
      <w:r>
        <w:rPr>
          <w:color w:val="1F497D"/>
        </w:rPr>
        <w:t>3.3 无效输入判定与处理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无效类型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判定标准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处理方式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空白输入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无任何模块关键词，输入字数 &lt; 5字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停止执行，输出固定追问话术，不生成任何PRD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模块名模糊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含关联词但无法精确匹配（如"降噪"→声学前端）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自动映射最近似模块，文档头部标注"[已映射为：XXX，如有误请纠正]"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超出七大模块范围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含硬件/驱动/算法训练/竞品等关键词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告知边界，拒绝执行，提示有效模块范围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多模块同时请求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含≥2个模块名称且含"同时/全部/一起"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拒绝批量执行，告知每次仅处理一个，询问优先处理哪个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4. 执行工作流规范（Workflow Spec）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</w:tblGrid>
      <w:tr>
        <w:tc>
          <w:tcPr>
            <w:tcW w:type="dxa" w:w="1474"/>
          </w:tcPr>
          <w:p>
            <w:r>
              <w:rPr>
                <w:b/>
                <w:sz w:val="18"/>
              </w:rPr>
              <w:t>步骤编号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步骤名称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输入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强制执行条件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输出</w:t>
            </w:r>
          </w:p>
        </w:tc>
        <w:tc>
          <w:tcPr>
            <w:tcW w:type="dxa" w:w="1474"/>
          </w:tcPr>
          <w:p>
            <w:r>
              <w:rPr>
                <w:b/>
                <w:sz w:val="18"/>
              </w:rPr>
              <w:t>最大执行时长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1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输入校验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用户原始输入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任何情况下首先执行，失败则终止后续步骤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确认模块名称 / 追问话术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立即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2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模块基线加载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确认的模块名称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Step 1通过后必须执行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该模块指标基线（内部）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立即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3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功能定义撰写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模块基线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不可跳过，每条含输入/处理逻辑/输出三要素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功能定义表格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4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性能指标量化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模块基线 + 第2章对应指标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不可跳过，必须填入具体数值，禁止留空或填"待定"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三级指标表格（核心/体验/监控）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接口规范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模块定位中的上下游模块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不可跳过，上下游双向接口各自独立，字段完整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接口规范表格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6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异常处理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模块基线 + 通用异常库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不可跳过，覆盖≥5类，含触发条件量化值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异常处理表格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7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验收标准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Step 3~6产出物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不可跳过，每条功能/指标对应一条可执行测试用例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验收标准表格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74"/>
          </w:tcPr>
          <w:p>
            <w:r>
              <w:rPr>
                <w:sz w:val="18"/>
              </w:rPr>
              <w:t>Step 8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格式自检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全文草稿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不可跳过，修正后再输出，不向用户暴露自检过程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最终PRD文档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—</w:t>
            </w:r>
          </w:p>
        </w:tc>
      </w:tr>
    </w:tbl>
    <w:p/>
    <w:p/>
    <w:p>
      <w:r/>
      <w:r>
        <w:rPr>
          <w:b/>
        </w:rPr>
        <w:t>强制顺序</w:t>
      </w:r>
      <w:r>
        <w:t>：Step 1 → 2 → 3 → 4 → 5 → 6 → 7 → 8，不可倒置，不可合并，不可省略。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5. 输出交付规范（Output Spec）</w:t>
      </w:r>
    </w:p>
    <w:p/>
    <w:p>
      <w:pPr>
        <w:pStyle w:val="Heading3"/>
      </w:pPr>
      <w:r>
        <w:rPr>
          <w:color w:val="1F497D"/>
        </w:rPr>
        <w:t>5.1 文档结构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章节编号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章节名称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内容要求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禁止项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文档头部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模块/版本/日期/作者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四字段必须出现，缺项留空但标签保留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省略任意字段标签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一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功能定义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所有子功能，每条含输入/处理逻辑/输出，表格形式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纯文字段落叙述，缺少三要素任一项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性能指标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核心指标/体验指标/监控指标三级，全部量化，含测试条件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无测试条件的裸数字，"较快/较准"等主观词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上下游接口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上游输入接口和下游输出接口各自独立，含数据类型/格式/时延SLA/异常码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缺失任意接口字段，上下游合并描述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四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异常处理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≥5类异常，每类含触发条件（量化）/检测方式/处理动作/恢复条件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触发条件不量化，"视情况处理"等模糊表述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验收标准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每条指标对应一条测试用例，含测试方法/通过条件/测试工具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无测试工具，无具体通过条件，纯文字描述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5.2 性能指标格式规范</w:t>
      </w:r>
    </w:p>
    <w:p/>
    <w:p>
      <w:r>
        <w:t>所有指标必须严格遵循以下格式，无例外：</w:t>
      </w:r>
    </w:p>
    <w:p/>
    <w:p>
      <w:pPr>
        <w:pStyle w:val="NoSpacing"/>
        <w:ind w:left="432"/>
      </w:pPr>
      <w:r>
        <w:rPr>
          <w:rFonts w:ascii="Courier New" w:hAnsi="Courier New"/>
          <w:color w:val="333333"/>
          <w:sz w:val="16"/>
        </w:rPr>
        <w:t>[指标名称] ≥/≤ [数值] [单位]（[测试场景]，[测试工具/方法]）</w:t>
      </w:r>
    </w:p>
    <w:p/>
    <w:p>
      <w:r/>
      <w:r>
        <w:rPr>
          <w:b/>
        </w:rPr>
        <w:t>合格示例：</w:t>
      </w:r>
      <w:r/>
    </w:p>
    <w:p>
      <w:pPr>
        <w:pStyle w:val="ListBullet"/>
      </w:pPr>
      <w:r>
        <w:t>字错误率（CER）≤ 5%（500句标准测试集，SNR ≥ 25dB，AISHELL-2评测脚本）</w:t>
      </w:r>
    </w:p>
    <w:p>
      <w:pPr>
        <w:pStyle w:val="ListBullet"/>
      </w:pPr>
      <w:r>
        <w:t>唤醒率（WRR）≥ 97%（1m，0°正面，安静环境，100次重复测试）</w:t>
      </w:r>
    </w:p>
    <w:p>
      <w:pPr>
        <w:pStyle w:val="ListBullet"/>
      </w:pPr>
      <w:r>
        <w:t>TTS首帧延迟 ≤ 200ms（句长≤20字，云端合成，Wireshark抓包计时）</w:t>
      </w:r>
    </w:p>
    <w:p/>
    <w:p>
      <w:r/>
      <w:r>
        <w:rPr>
          <w:b/>
        </w:rPr>
        <w:t>不合格示例（禁止出现）：</w:t>
      </w:r>
      <w:r/>
    </w:p>
    <w:p>
      <w:pPr>
        <w:pStyle w:val="ListBullet"/>
      </w:pPr>
      <w:r>
        <w:t>~~识别准确率较高~~ → 无数值，不合格</w:t>
      </w:r>
    </w:p>
    <w:p>
      <w:pPr>
        <w:pStyle w:val="ListBullet"/>
      </w:pPr>
      <w:r>
        <w:t>~~延迟≤200ms~~ → 无测试条件，不合格</w:t>
      </w:r>
    </w:p>
    <w:p>
      <w:pPr>
        <w:pStyle w:val="ListBullet"/>
      </w:pPr>
      <w:r>
        <w:t>~~唤醒效果好~~ → 主观描述，不合格</w:t>
      </w:r>
    </w:p>
    <w:p/>
    <w:p>
      <w:pPr>
        <w:pStyle w:val="Heading3"/>
      </w:pPr>
      <w:r>
        <w:rPr>
          <w:color w:val="1F497D"/>
        </w:rPr>
        <w:t>5.3 验收标准格式规范</w:t>
      </w:r>
    </w:p>
    <w:p/>
    <w:p>
      <w:r>
        <w:t>每条验收标准必须包含四个字段：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要求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验收项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对应功能点或指标名称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唤醒率（WRR）安静近场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测试方法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可执行步骤，含测试集/工具/环境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在消音室1m处朗读唤醒词100次，记录成功次数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通过条件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量化的pass/fail判定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成功次数 ≥ 97次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测试工具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具体工具名称或脚本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定制化语音评测脚本 + 声级计校准</w:t>
            </w:r>
          </w:p>
        </w:tc>
      </w:tr>
    </w:tbl>
    <w:p/>
    <w:p/>
    <w:p>
      <w:pPr>
        <w:pStyle w:val="Heading3"/>
      </w:pPr>
      <w:r>
        <w:rPr>
          <w:color w:val="1F497D"/>
        </w:rPr>
        <w:t>5.4 字数与篇幅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文档类型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字数范围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表格行数下限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单模块PRD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1500~3000字（含表格内容）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功能定义≥5行，性能指标≥8行，异常处理≥5行，验收标准≥8行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6. 全局约束与风控（Constraints）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约束类型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约束内容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违反后处理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C-01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范围约束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仅处理七大模块范围内的PRD撰写，不跨界到硬件/驱动/算法训练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告知边界，拒绝执行超范围部分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C-02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数量约束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每次执行仅生成一个模块的PRD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多模块请求时告知限制，询问优先模块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C-03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所有性能指标必须量化，包含数值+单位+测试条件，三者缺一不合格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无法量化时填"[待测试集确定，参考建议：XXX]"，不留空，不填"待定"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C-04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结构约束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五章节固定，顺序锁死，任何情况不增删章节、不调整顺序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自检阶段强制修正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C-05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内容约束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禁止主观形容词（快/准/好/优秀/流畅），禁止未经标注的行业经验值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自检阶段强制替换为量化表述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C-06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安全约束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中枢系统和大模型功能模块中，危险动作拦截必须单独列为一条验收标准，通过条件为100%拦截率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缺失则自检补入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C-07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一致性约束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同一指标在功能定义、性能指标、验收标准三章中数值必须一致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自检阶段对齐，不一致则以性能指标章节为准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C-08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时延预算约束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端到端总预算分两条独立通道：**规则路径**安静≤800ms / 噪声≤1200ms；**LLM路径**安静≤3500ms / 噪声≤4000ms（P95，含首字反馈"让我想一下"在内的整体响应）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生成每个模块时标注该模块在规则/LLM路径中的时延预算占比</w:t>
            </w:r>
          </w:p>
        </w:tc>
      </w:tr>
    </w:tbl>
    <w:p/>
    <w:p/>
    <w:p>
      <w:r/>
      <w:r>
        <w:rPr>
          <w:b/>
        </w:rPr>
        <w:t>端到端时延预算分配表（强制约束）</w:t>
      </w:r>
      <w:r/>
    </w:p>
    <w:p/>
    <w:p>
      <w:r/>
      <w:r>
        <w:rPr>
          <w:b/>
        </w:rPr>
        <w:t>A. 规则路径（简单确定性指令，覆盖率 ≥ 80%）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时延预算（安静）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时延预算（噪声）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声学前端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多模态前端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唤醒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80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识别（ASR）出文延迟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450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中枢系统（规则路径）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TTS首帧（不含云端RTT）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云端网络RTT（TTS云端时）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**合计**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880 ms（目标≤800ms，含余量预警）**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1060 ms（目标≤1200ms）**</w:t>
            </w:r>
          </w:p>
        </w:tc>
      </w:tr>
    </w:tbl>
    <w:p/>
    <w:p/>
    <w:p>
      <w:r/>
      <w:r>
        <w:rPr>
          <w:b/>
        </w:rPr>
        <w:t>B. LLM路径（复杂/模糊指令，覆盖率 ≤ 20%）</w:t>
      </w:r>
      <w:r/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模块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时延预算（安静）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时延预算（噪声）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声学前端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多模态前端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唤醒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80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识别（ASR）出文延迟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450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中枢系统（LLM路径路由+回填）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云端LLM推理（含网络RTT，P95）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2500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TTS首帧（不含云端RTT）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云端网络RTT（TTS云端时）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150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**合计（P95）**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2880 ms（目标≤3500ms）**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**≤ 3560 ms（目标≤4000ms）**</w:t>
            </w:r>
          </w:p>
        </w:tc>
      </w:tr>
    </w:tbl>
    <w:p/>
    <w:p/>
    <w:p>
      <w:r>
        <w:t xml:space="preserve">&gt; </w:t>
      </w:r>
      <w:r>
        <w:rPr>
          <w:b/>
        </w:rPr>
        <w:t>首字反馈策略</w:t>
      </w:r>
      <w:r>
        <w:t>：LLM路径下，规则引擎应在 ≤ 800ms（安静）/ ≤ 1200ms（噪声）内先返回首字反馈（如"让我想一下"），LLM真实结果到达后再继续语音输出，避免用户感知到 3 秒级的"卡顿"。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</w:pPr>
      <w:r>
        <w:rPr>
          <w:color w:val="1F497D"/>
        </w:rPr>
        <w:t>6.5 端到端业务域响应表（对外承诺，参考海外公版基线）</w:t>
      </w:r>
    </w:p>
    <w:p/>
    <w:p>
      <w:r>
        <w:t xml:space="preserve">&gt; 业务域分类来源于海外公版端到端响应规范（车端：车控/电话/地图/多媒体/天气/首字上屏），映射至机器人场景。  </w:t>
      </w:r>
    </w:p>
    <w:p>
      <w:r>
        <w:t xml:space="preserve">&gt; 测试工况：§2.0 统一工况  </w:t>
      </w:r>
    </w:p>
    <w:p>
      <w:r>
        <w:t>&gt; 计时口径：用户说完最后一字 → 机器人首字 TTS 输出 / 内部 API 调用下发</w:t>
      </w:r>
    </w:p>
    <w:p/>
    <w:p>
      <w:pPr>
        <w:pStyle w:val="Heading4"/>
      </w:pPr>
      <w:r>
        <w:rPr>
          <w:color w:val="1F497D"/>
        </w:rPr>
        <w:t>A. 在线响应（联网状态）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业务域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机器人对应场景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海外公版对标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**唤醒响应**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唤醒词→唤醒事件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350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海外 ≤ 350 ms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**本体控制**（机器人控制）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移动/转身/抓取/手势/姿态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1300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车控 1500（极氪 1500 / 领克 1300）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**信息查询**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时间/状态/简单本地知识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天气 2500（极氪 1500 / 领克 2000）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**多媒体**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音乐/视频/播放控制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多媒体 2200（极氪 2200 / 领克 2300）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**任务执行**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多步骤组合任务（含云端 API 链）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2500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2100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地图 2500（极氪 2100 / 领克 2300）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**对话闲聊**（LLM 路径，P95）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开放域闲聊 / 复杂语义理解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3000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2200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电话 1700 + LLM 推理 ~1300（机器人项目特性）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**ASR 首字上屏**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说话开始→ASR 首字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900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≤ 700 ms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海外 900 / 一汽 700</w:t>
            </w:r>
          </w:p>
        </w:tc>
      </w:tr>
    </w:tbl>
    <w:p/>
    <w:p/>
    <w:p>
      <w:pPr>
        <w:pStyle w:val="Heading4"/>
      </w:pPr>
      <w:r>
        <w:rPr>
          <w:color w:val="1F497D"/>
        </w:rPr>
        <w:t>B. 离线响应（断网兜底）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业务域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海外公版对标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**本体控制**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1400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1200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车控 1400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**信息查询**（本地 KB）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1500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1300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电话 1500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**ASR 首字上屏**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850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≤ 650 ms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海外 850 / 极氪 700 / 领克 650 / 一汽 650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多媒体 / 任务执行 / 对话闲聊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一期**不强制**离线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—</w:t>
            </w:r>
          </w:p>
        </w:tc>
      </w:tr>
    </w:tbl>
    <w:p/>
    <w:p/>
    <w:p>
      <w:pPr>
        <w:pStyle w:val="Heading4"/>
      </w:pPr>
      <w:r>
        <w:rPr>
          <w:color w:val="1F497D"/>
        </w:rPr>
        <w:t>C. 端到端任务成功率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任务类型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should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本体控制端到端成功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92%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96%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ASR 正确 ∧ NLU 正确 ∧ Function Call 正确 ∧ API 下发成功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信息查询端到端成功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同，含信息源返回成功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复杂多轮（≥ 3 轮）任务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 组多轮测试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运动状态全任务成功率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88%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同测试集，机器人步行中</w:t>
            </w:r>
          </w:p>
        </w:tc>
      </w:tr>
    </w:tbl>
    <w:p/>
    <w:p/>
    <w:p>
      <w:pPr>
        <w:pStyle w:val="Heading4"/>
      </w:pPr>
      <w:r>
        <w:rPr>
          <w:color w:val="1F497D"/>
        </w:rPr>
        <w:t>D. 网络切换无感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7"/>
        <w:gridCol w:w="2947"/>
        <w:gridCol w:w="2947"/>
      </w:tblGrid>
      <w:tr>
        <w:tc>
          <w:tcPr>
            <w:tcW w:type="dxa" w:w="2947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shall</w:t>
            </w:r>
          </w:p>
        </w:tc>
        <w:tc>
          <w:tcPr>
            <w:tcW w:type="dxa" w:w="2947"/>
          </w:tcPr>
          <w:p>
            <w:r>
              <w:rPr>
                <w:b/>
                <w:sz w:val="18"/>
              </w:rPr>
              <w:t>should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4G 信号丢失 → 本地切换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500 ms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200 ms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切换瞬间指令丢失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2947"/>
          </w:tcPr>
          <w:p>
            <w:r>
              <w:rPr>
                <w:sz w:val="18"/>
              </w:rPr>
              <w:t>本地 → 云端恢复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1 s</w:t>
            </w:r>
          </w:p>
        </w:tc>
        <w:tc>
          <w:tcPr>
            <w:tcW w:type="dxa" w:w="2947"/>
          </w:tcPr>
          <w:p>
            <w:r>
              <w:rPr>
                <w:sz w:val="18"/>
              </w:rPr>
              <w:t>≤ 500 ms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7. 异常兜底规范（Exception Spec）</w:t>
      </w:r>
    </w:p>
    <w:p/>
    <w:p>
      <w:pPr>
        <w:pStyle w:val="Heading3"/>
      </w:pPr>
      <w:r>
        <w:rPr>
          <w:color w:val="1F497D"/>
        </w:rPr>
        <w:t>7.1 Skill执行层异常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</w:tcPr>
          <w:p>
            <w:r>
              <w:rPr>
                <w:b/>
                <w:sz w:val="18"/>
              </w:rPr>
              <w:t>异常类型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检测方式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唯一处理逻辑</w:t>
            </w:r>
          </w:p>
        </w:tc>
        <w:tc>
          <w:tcPr>
            <w:tcW w:type="dxa" w:w="1768"/>
          </w:tcPr>
          <w:p>
            <w:r>
              <w:rPr>
                <w:b/>
                <w:sz w:val="18"/>
              </w:rPr>
              <w:t>恢复条件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空白输入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输入字数 &lt; 5字，无七大模块关键词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输入长度检测 + 关键词匹配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输出标准追问话术，列出七大模块选项，停止执行，不生成任何内容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用户重新输入有效模块名称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模块名模糊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含关联词但无法精确匹配（如"语音输入"）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模糊语义匹配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自动映射最近似模块，文档头部标注"[已映射为：XXX，如有误请纠正]"，继续执行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用户确认或纠正映射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超出范围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含硬件/驱动/竞品/算法训练等禁用关键词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关键词黑名单匹配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告知边界"本技能聚焦墨甲语音软件链路七大模块PRD撰写，[具体超范围内容]不在范围内"，停止执行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用户重新输入目标模块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多模块同时请求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含≥2个模块名称且带"同时/全部/一起/都"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多模块关键词检测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告知"每次仅处理一个模块，请告知优先处理哪个"，提供排序选项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用户指定单一优先模块</w:t>
            </w:r>
          </w:p>
        </w:tc>
      </w:tr>
      <w:tr>
        <w:tc>
          <w:tcPr>
            <w:tcW w:type="dxa" w:w="1768"/>
          </w:tcPr>
          <w:p>
            <w:r>
              <w:rPr>
                <w:sz w:val="18"/>
              </w:rPr>
              <w:t>连续2轮追问无效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用户对追问连续2次回应中无有效模块信息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追问计数器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输出七大模块概览表（含每模块一句功能简介），引导用户从表中选择</w:t>
            </w:r>
          </w:p>
        </w:tc>
        <w:tc>
          <w:tcPr>
            <w:tcW w:type="dxa" w:w="1768"/>
          </w:tcPr>
          <w:p>
            <w:r>
              <w:rPr>
                <w:sz w:val="18"/>
              </w:rPr>
              <w:t>用户点选具体模块</w:t>
            </w:r>
          </w:p>
        </w:tc>
      </w:tr>
    </w:tbl>
    <w:p/>
    <w:p/>
    <w:p>
      <w:pPr>
        <w:pStyle w:val="Heading3"/>
      </w:pPr>
      <w:r>
        <w:rPr>
          <w:color w:val="1F497D"/>
        </w:rPr>
        <w:t>7.2 内容生成层异常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异常类型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触发条件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检测方式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唯一处理逻辑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指标无法量化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特殊部署场景无行业公开基准数据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指标库匹配失败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填写"[待实测确定；参考行业基线：XXX（行业经验值）]"，不留空，不填"待定"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接口字段不完整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自检发现接口缺少数据类型/格式/时延SLA/异常码任意字段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自检步骤字段校验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自动补全缺失字段（按模块基线标准填入），不向用户暴露自检过程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验收标准缺测试工具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验收条目无具体工具/脚本名称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自检步骤字段校验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自动补充"定制化语音评测脚本"或对应行业工具，不留空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时延预算超标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某模块时延指标超过第6章分配预算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与预算表对比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在该指标下方自动添加"⚠️ 注意：当前值超出本模块时延预算（X ms），需与相邻模块协商调整"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危险指令验收缺失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中枢/大模型模块验收标准中无危险指令拦截条目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模块名称+验收章节关键词检测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自动在验收标准章节末尾补入：危险指令拦截率，测试方法：50条预设危险指令，通过条件：100%拦截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1F497D"/>
        </w:rPr>
        <w:t>8. 验收标准（Acceptance Criteria）</w:t>
      </w:r>
    </w:p>
    <w:p/>
    <w:p>
      <w:pPr>
        <w:pStyle w:val="Heading3"/>
      </w:pPr>
      <w:r>
        <w:rPr>
          <w:color w:val="1F497D"/>
        </w:rPr>
        <w:t>8.1 触发精准性验收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正确触发率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输入含七大模块名称+撰写类动词的50条指令，记录触发成功次数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50次全部正确触发，触发率100%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手动测试，记录触发日志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误触发率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输入20条非PRD撰写类请求（诊断/分析/对比），记录误触发次数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误触发次数 = 0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优先级冲突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同时激活多个技能，验证priority=6是否生效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本技能优先级正确生效，无被覆盖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Claude Code技能冲突测试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8.2 流程闭环验收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Step顺序正确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对7个模块各触发一次，检查输出章节顺序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7次均为一→二→三→四→五，无乱序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人工审查输出文档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步骤不可跳过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检查空白输入时是否存在PRD内容生成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空白输入时0条PRD内容，仅追问话术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自检生效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故意提供缺失测试工具的指标，检查输出是否自动补全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输出文档中无空白测试工具字段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人工审查输出文档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8.3 输出质量验收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指标量化率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随机抽取3个模块的PRD，统计性能指标章节中包含数值+单位+测试条件的条目占比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≥ 95%的指标条目格式合规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人工逐条审查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功能定义三要素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统计功能定义表格中包含输入/处理逻辑/输出三要素的行数占比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100%的功能条目包含三要素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接口字段完整性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检查接口规范章节的数据类型/格式/时延SLA/异常码四字段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100%的接口条目四字段完整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异常处理覆盖数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统计异常处理章节的异常类型总数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每个模块≥5类异常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人工统计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验收标准可执行性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检查验收标准中是否每条含测试方法/通过条件/测试工具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100%的验收条目三字段完整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人工逐行审查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时延预算合规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对比各模块输出的时延指标与第6章预算表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无模块时延指标超过预算表限值（或有⚠️标注）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与预算表逐项对比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危险指令验收必存在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检查中枢系统和大模型功能模块的验收标准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两模块均含危险指令拦截率≥100%的验收条目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8.4 异常兜底验收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测试方法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通过条件</w:t>
            </w:r>
          </w:p>
        </w:tc>
        <w:tc>
          <w:tcPr>
            <w:tcW w:type="dxa" w:w="2210"/>
          </w:tcPr>
          <w:p>
            <w:r>
              <w:rPr>
                <w:b/>
                <w:sz w:val="18"/>
              </w:rPr>
              <w:t>测试工具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空白输入处理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发送5次空白输入，检查是否有PRD内容生成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5次全部输出追问话术，0次生成PRD内容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多模块请求处理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发送"同时生成唤醒和ASR模块PRD"，检查输出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输出拒绝说明+优先模块询问，无批量PRD内容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超范围请求处理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发送"帮我选麦克风阵列型号"，检查输出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输出边界说明，无PRD内容，无超范围建议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手动测试</w:t>
            </w:r>
          </w:p>
        </w:tc>
      </w:tr>
      <w:tr>
        <w:tc>
          <w:tcPr>
            <w:tcW w:type="dxa" w:w="2210"/>
          </w:tcPr>
          <w:p>
            <w:r>
              <w:rPr>
                <w:sz w:val="18"/>
              </w:rPr>
              <w:t>无法量化指标处理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提供无行业基准的小众场景，检查指标字段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指标字段填"[待实测确定；参考建议：XXX]"，无空白，无"待定"</w:t>
            </w:r>
          </w:p>
        </w:tc>
        <w:tc>
          <w:tcPr>
            <w:tcW w:type="dxa" w:w="2210"/>
          </w:tcPr>
          <w:p>
            <w:r>
              <w:rPr>
                <w:sz w:val="18"/>
              </w:rPr>
              <w:t>人工审查输出</w:t>
            </w:r>
          </w:p>
        </w:tc>
      </w:tr>
    </w:tbl>
    <w:p/>
    <w:p/>
    <w:p>
      <w:pPr>
        <w:pStyle w:val="Heading3"/>
      </w:pPr>
      <w:r>
        <w:rPr>
          <w:color w:val="1F497D"/>
        </w:rPr>
        <w:t>8.5 内容合规验收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21"/>
        <w:gridCol w:w="4421"/>
      </w:tblGrid>
      <w:tr>
        <w:tc>
          <w:tcPr>
            <w:tcW w:type="dxa" w:w="4421"/>
          </w:tcPr>
          <w:p>
            <w:r>
              <w:rPr>
                <w:b/>
                <w:sz w:val="18"/>
              </w:rPr>
              <w:t>验收项</w:t>
            </w:r>
          </w:p>
        </w:tc>
        <w:tc>
          <w:tcPr>
            <w:tcW w:type="dxa" w:w="4421"/>
          </w:tcPr>
          <w:p>
            <w:r>
              <w:rPr>
                <w:b/>
                <w:sz w:val="18"/>
              </w:rPr>
              <w:t>通过条件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主观形容词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全文0个"快/准/好/优秀/流畅/较高"等主观词汇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裸数字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全文0个无单位无条件的裸数字指标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虚构数据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全文0条未标注来源且超出第2章基线范围的数字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模块边界混淆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全文0处将某模块职责混入相邻模块的描述</w:t>
            </w:r>
          </w:p>
        </w:tc>
      </w:tr>
      <w:tr>
        <w:tc>
          <w:tcPr>
            <w:tcW w:type="dxa" w:w="4421"/>
          </w:tcPr>
          <w:p>
            <w:r>
              <w:rPr>
                <w:sz w:val="18"/>
              </w:rPr>
              <w:t>章节结构</w:t>
            </w:r>
          </w:p>
        </w:tc>
        <w:tc>
          <w:tcPr>
            <w:tcW w:type="dxa" w:w="4421"/>
          </w:tcPr>
          <w:p>
            <w:r>
              <w:rPr>
                <w:sz w:val="18"/>
              </w:rPr>
              <w:t>全文5章节完整，顺序正确，无缺失章节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>*SOR v1.0 | 与 Voice_AI_Signal_Expert_SKILL.md v1.0 配套使用 | 如产品指标更新，本SOR第2章需同步修订*</w:t>
      </w:r>
    </w:p>
    <w:p/>
    <w:sectPr w:rsidR="00FC693F" w:rsidRPr="0006063C" w:rsidSect="00034616">
      <w:pgSz w:w="12240" w:h="15840"/>
      <w:pgMar w:top="1440" w:right="1699" w:bottom="1440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