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墨甲机器人语音交互系统 SOR 评审报告</w:t>
      </w:r>
    </w:p>
    <w:p/>
    <w:p>
      <w:r/>
      <w:r>
        <w:rPr>
          <w:b/>
        </w:rPr>
        <w:t>评审对象</w:t>
      </w:r>
      <w:r>
        <w:t>：`skill/Voice_AI_Signal_Expert_SOR.md`（对应导出件 `Voice_AI_SOR_墨甲机器人.docx`，用户本地命名为「墨甲智创二代机器人人机交互系统 SOR_V2.0」）</w:t>
      </w:r>
    </w:p>
    <w:p>
      <w:r/>
      <w:r>
        <w:rPr>
          <w:b/>
        </w:rPr>
        <w:t>评审目标</w:t>
      </w:r>
      <w:r>
        <w:t>：(1) 排查逻辑硬伤；(2) 核验指标参数是否过激进/属于"国际顶尖"范畴，是否能落到国内主流供应商可交付范围。</w:t>
      </w:r>
    </w:p>
    <w:p>
      <w:r/>
      <w:r>
        <w:rPr>
          <w:b/>
        </w:rPr>
        <w:t>评审结论</w:t>
      </w:r>
      <w:r>
        <w:t>：</w:t>
      </w:r>
      <w:r>
        <w:rPr>
          <w:b/>
        </w:rPr>
        <w:t>整体结构合规，但存在 6 处逻辑硬伤 / 跨章节不一致，以及 3 处指标偏激进、需向国内行业主流值回调</w:t>
      </w:r>
      <w:r>
        <w:t>。已在同 PR 中给出落地修订（详见末节"已应用的修订"）。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一、逻辑硬伤（必须修复）</w:t>
      </w:r>
    </w:p>
    <w:p/>
    <w:p>
      <w:pPr>
        <w:pStyle w:val="Heading3"/>
      </w:pPr>
      <w:r>
        <w:rPr>
          <w:color w:val="1F497D"/>
        </w:rPr>
        <w:t>硬伤 1：波束成形指标与默认硬件不匹配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§2.1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波束成形 主瓣增益 ≥ 6 dB（**4 阵元线阵**）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§3.2 默认硬件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**6 阵元圆形阵列**，48 kHz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§PRD 5.4 兼容性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支持 4–8 阵元线性/圆形</w:t>
            </w:r>
          </w:p>
        </w:tc>
      </w:tr>
    </w:tbl>
    <w:p/>
    <w:p/>
    <w:p>
      <w:r>
        <w:t>测试条件用的阵列（4 元线阵）与默认部署阵列（6 元圆阵）不一致，供应商无法判断到底按哪个阵型交付。</w:t>
      </w:r>
    </w:p>
    <w:p/>
    <w:p>
      <w:pPr>
        <w:pStyle w:val="Heading3"/>
      </w:pPr>
      <w:r>
        <w:rPr>
          <w:color w:val="1F497D"/>
        </w:rPr>
        <w:t>硬伤 2：6 dB 主瓣增益 = 4 元阵列理论上限，工程上不可达</w:t>
      </w:r>
    </w:p>
    <w:p>
      <w:r>
        <w:t xml:space="preserve">4 个全向阵元在远场弥散噪声下的最大理论阵列增益 = 10·log₁₀(N) = </w:t>
      </w:r>
      <w:r>
        <w:rPr>
          <w:b/>
        </w:rPr>
        <w:t>6 dB</w:t>
      </w:r>
      <w:r>
        <w:t xml:space="preserve">，这是物理上限。实际由于：失配、近场效应、噪声相关性、校准误差，工程值通常落在 </w:t>
      </w:r>
      <w:r>
        <w:rPr>
          <w:b/>
        </w:rPr>
        <w:t>3–5 dB</w:t>
      </w:r>
      <w:r>
        <w:t>。</w:t>
      </w:r>
    </w:p>
    <w:p/>
    <w:p>
      <w:r>
        <w:t>写"≥ 6 dB（4 阵元线阵）"等于要求供应商交付理论极限，</w:t>
      </w:r>
      <w:r>
        <w:rPr>
          <w:b/>
        </w:rPr>
        <w:t>国内任何主流声学厂商（科大讯飞 / 思必驰 / 声智 / 出门问问 / 云知声）都做不到</w:t>
      </w:r>
      <w:r>
        <w:t>。</w:t>
      </w:r>
    </w:p>
    <w:p/>
    <w:p>
      <w:r/>
      <w:r>
        <w:rPr>
          <w:b/>
        </w:rPr>
        <w:t>建议</w:t>
      </w:r>
      <w:r>
        <w:t>：</w:t>
      </w:r>
    </w:p>
    <w:p>
      <w:pPr>
        <w:pStyle w:val="ListBullet"/>
      </w:pPr>
      <w:r>
        <w:t>若坚持 4 元线阵 → 改为 ≥ 4 dB</w:t>
      </w:r>
    </w:p>
    <w:p>
      <w:pPr>
        <w:pStyle w:val="ListBullet"/>
      </w:pPr>
      <w:r>
        <w:t>若要 ≥ 6 dB → 改为 6 元圆阵（与 §3.2 默认硬件一致），并将 4 元线阵作为"降级硬件"列入备注</w:t>
      </w:r>
    </w:p>
    <w:p/>
    <w:p>
      <w:pPr>
        <w:pStyle w:val="Heading3"/>
      </w:pPr>
      <w:r>
        <w:rPr>
          <w:color w:val="1F497D"/>
        </w:rPr>
        <w:t>硬伤 3：端到端时延预算只覆盖规则路径，LLM 路径缺位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§6 C-08 文字描述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端到端总预算：安静 ≤ 800 ms，噪声 ≤ 1200 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§6 预算分配表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合计：安静 730 ms / 噪声 910 ms（**只含规则路径**）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§2.5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LLM 路径总延迟 ≤ 3000 ms（P99）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§2.7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云端 LLM P95 ≤ 2000 ms / P99 ≤ 3000 ms</w:t>
            </w:r>
          </w:p>
        </w:tc>
      </w:tr>
    </w:tbl>
    <w:p/>
    <w:p/>
    <w:p>
      <w:r>
        <w:t xml:space="preserve">如果指令走 LLM，端到端 = 30 + 50 + 50 + 300 + </w:t>
      </w:r>
      <w:r>
        <w:rPr>
          <w:b/>
        </w:rPr>
        <w:t>2000~3000</w:t>
      </w:r>
      <w:r>
        <w:t xml:space="preserve"> + 200 = </w:t>
      </w:r>
      <w:r>
        <w:rPr>
          <w:b/>
        </w:rPr>
        <w:t>2630~3630 ms</w:t>
      </w:r>
      <w:r>
        <w:t>，</w:t>
      </w:r>
      <w:r>
        <w:rPr>
          <w:b/>
        </w:rPr>
        <w:t>远超 800/1200 ms 上限</w:t>
      </w:r>
      <w:r>
        <w:t>。表面上"满足预算"，实际上业务一旦走复杂指令就必然超标，供应商在验收时会与产品扯皮。</w:t>
      </w:r>
    </w:p>
    <w:p/>
    <w:p>
      <w:r/>
      <w:r>
        <w:rPr>
          <w:b/>
        </w:rPr>
        <w:t>建议</w:t>
      </w:r>
      <w:r>
        <w:t>：把端到端预算拆成两条独立通道——</w:t>
      </w:r>
    </w:p>
    <w:p>
      <w:pPr>
        <w:pStyle w:val="ListBullet"/>
      </w:pPr>
      <w:r>
        <w:t>规则路径：安静 ≤ 800 ms / 噪声 ≤ 1200 ms（现表合计 730 / 910，留有余量）</w:t>
      </w:r>
    </w:p>
    <w:p>
      <w:pPr>
        <w:pStyle w:val="ListBullet"/>
      </w:pPr>
      <w:r>
        <w:t>LLM 路径：安静 ≤ 3500 ms（P95）/ 噪声 ≤ 4000 ms（P95），首字反馈（TTS 首帧）仍受 ≤ 1200 ms 约束（即"让我想一下"先播）</w:t>
      </w:r>
    </w:p>
    <w:p/>
    <w:p>
      <w:pPr>
        <w:pStyle w:val="Heading3"/>
      </w:pPr>
      <w:r>
        <w:rPr>
          <w:color w:val="1F497D"/>
        </w:rPr>
        <w:t>硬伤 4："首词输出延迟"名称与测量起点矛盾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原文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§2.4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流式识别 **首词**输出延迟 ≤ 300 ms（句长 5–20 字，**句末 VAD 触发后计时**）</w:t>
            </w:r>
          </w:p>
        </w:tc>
      </w:tr>
    </w:tbl>
    <w:p/>
    <w:p/>
    <w:p>
      <w:r>
        <w:t>"首词"本意是从说话开始到 ASR 出第一字（即流式识别的首字延迟）；而当前测量起点是"句末 VAD 触发"，这是</w:t>
      </w:r>
      <w:r>
        <w:rPr>
          <w:b/>
        </w:rPr>
        <w:t>尾包延迟 / 出文延迟</w:t>
      </w:r>
      <w:r>
        <w:t>。名实不符，会导致供应商按字面意思（开始说话→首字）做，最后在验收时双方各执一词。</w:t>
      </w:r>
    </w:p>
    <w:p/>
    <w:p>
      <w:r/>
      <w:r>
        <w:rPr>
          <w:b/>
        </w:rPr>
        <w:t>建议</w:t>
      </w:r>
      <w:r>
        <w:t xml:space="preserve">：改名为 </w:t>
      </w:r>
      <w:r>
        <w:rPr>
          <w:b/>
        </w:rPr>
        <w:t>「出文延迟（VAD 句末触发 → ASR 最终结果输出）」</w:t>
      </w:r>
      <w:r>
        <w:t>，或新增两个独立指标：</w:t>
      </w:r>
    </w:p>
    <w:p>
      <w:pPr>
        <w:pStyle w:val="ListBullet"/>
      </w:pPr>
      <w:r>
        <w:t>首字延迟（首字上屏） ≤ 500 ms（说话开始计时）</w:t>
      </w:r>
    </w:p>
    <w:p>
      <w:pPr>
        <w:pStyle w:val="ListBullet"/>
      </w:pPr>
      <w:r>
        <w:t>尾包延迟（VAD 句末触发 → 最终结果） ≤ 300 ms</w:t>
      </w:r>
    </w:p>
    <w:p/>
    <w:p>
      <w:pPr>
        <w:pStyle w:val="Heading3"/>
      </w:pPr>
      <w:r>
        <w:rPr>
          <w:color w:val="1F497D"/>
        </w:rPr>
        <w:t>硬伤 5：声视时间对齐 ≤ 20 ms 低于视觉单帧周期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原文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§2.2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声视时间对齐误差 ≤ 20 ms（视觉 30 fps，声学 16 kHz）</w:t>
            </w:r>
          </w:p>
        </w:tc>
      </w:tr>
    </w:tbl>
    <w:p/>
    <w:p/>
    <w:p>
      <w:r>
        <w:t>30 fps 视觉单帧周期 = 33.3 ms。</w:t>
      </w:r>
      <w:r>
        <w:rPr>
          <w:b/>
        </w:rPr>
        <w:t>纯软件时间戳同步</w:t>
      </w:r>
      <w:r>
        <w:t>（基于系统时钟+帧 metadata）通常只能做到 40–60 ms；要做到 20 ms 必须有硬件级时间戳同步（PTP / IEEE 1588 / 触发线同步），机器人主板上不一定具备。</w:t>
      </w:r>
    </w:p>
    <w:p/>
    <w:p>
      <w:r/>
      <w:r>
        <w:rPr>
          <w:b/>
        </w:rPr>
        <w:t>建议</w:t>
      </w:r>
      <w:r>
        <w:t>：二选一：</w:t>
      </w:r>
    </w:p>
    <w:p>
      <w:pPr>
        <w:pStyle w:val="ListBullet"/>
      </w:pPr>
      <w:r>
        <w:t>放宽到 ≤ 40 ms（与一帧周期同量级，纯软件可达，国内行业主流）</w:t>
      </w:r>
    </w:p>
    <w:p>
      <w:pPr>
        <w:pStyle w:val="ListBullet"/>
      </w:pPr>
      <w:r>
        <w:t>保持 ≤ 20 ms，但明确测试条件加注"要求硬件 PTP 同步或共时钟域采集"</w:t>
      </w:r>
    </w:p>
    <w:p/>
    <w:p>
      <w:pPr>
        <w:pStyle w:val="Heading3"/>
      </w:pPr>
      <w:r>
        <w:rPr>
          <w:color w:val="1F497D"/>
        </w:rPr>
        <w:t>硬伤 6：唤醒/ASR 在噪声场景下的延迟在 §2 缺定义，但 §6 预算表有约束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§6 预算表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唤醒：安静 ≤ 50 ms / **噪声 ≤ 80 ms**；ASR：安静 ≤ 300 ms / **噪声 ≤ 450 ms**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§2.3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仅给出"唤醒词检测延迟 ≤ 50 ms"（未说环境）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§2.4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仅给出"出文延迟 ≤ 300 ms"（未说环境）</w:t>
            </w:r>
          </w:p>
        </w:tc>
      </w:tr>
    </w:tbl>
    <w:p/>
    <w:p/>
    <w:p>
      <w:r>
        <w:t>供应商按 §2 验收时只见安静值，按 §6 又被要求噪声值，</w:t>
      </w:r>
      <w:r>
        <w:rPr>
          <w:b/>
        </w:rPr>
        <w:t>验收用例无法书写</w:t>
      </w:r>
      <w:r>
        <w:t>。</w:t>
      </w:r>
    </w:p>
    <w:p/>
    <w:p>
      <w:r/>
      <w:r>
        <w:rPr>
          <w:b/>
        </w:rPr>
        <w:t>建议</w:t>
      </w:r>
      <w:r>
        <w:t>：在 §2.3 / §2.4 各增一行噪声场景下的延迟指标，与 §6 预算表对齐。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二、跨文档一致性问题（PRD ↔ SOR）</w:t>
      </w:r>
    </w:p>
    <w:p/>
    <w:p>
      <w:pPr>
        <w:pStyle w:val="Heading3"/>
      </w:pPr>
      <w:r>
        <w:rPr>
          <w:color w:val="1F497D"/>
        </w:rPr>
        <w:t>不一致 1：TTS TTFT 是否含网络 RTT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§SOR 2.6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TTS TTFT ≤ 200 ms（**不含**网络 RTT）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§PRD 5.1 / 7.1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TTS 首字节延迟 ≤ 200 ms（未说是否含 RTT）</w:t>
            </w:r>
          </w:p>
        </w:tc>
      </w:tr>
    </w:tbl>
    <w:p/>
    <w:p/>
    <w:p>
      <w:r>
        <w:t>国内云厂商往返 RTT 典型 30–80 ms（同城）/ 50–150 ms（跨区）。如果 PRD 默认包含 RTT，云端 TTS 合成自身只剩 50–170 ms 预算，对小厂供应商不现实。</w:t>
      </w:r>
    </w:p>
    <w:p/>
    <w:p>
      <w:r/>
      <w:r>
        <w:rPr>
          <w:b/>
        </w:rPr>
        <w:t>建议</w:t>
      </w:r>
      <w:r>
        <w:t>：PRD § 5.1 / § 7.1 显式标注"</w:t>
      </w:r>
      <w:r>
        <w:rPr>
          <w:b/>
        </w:rPr>
        <w:t>不含云端网络 RTT；网络 RTT 单独预算 ≤ 150 ms</w:t>
      </w:r>
      <w:r>
        <w:t>"，与 SOR 对齐。同时在 §6 预算表新增"云端网络 RTT ≤ 150 ms"一行。</w:t>
      </w:r>
    </w:p>
    <w:p/>
    <w:p>
      <w:pPr>
        <w:pStyle w:val="Heading3"/>
      </w:pPr>
      <w:r>
        <w:rPr>
          <w:color w:val="1F497D"/>
        </w:rPr>
        <w:t>不一致 2：规则引擎兜底覆盖率 80% 出现两次但含义不同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描述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§SOR 2.5 降级策略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LLM **不可用**时规则兜底覆盖率 ≥ 80%（Top 100，断网）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§SOR 2.7 成本控制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简单指令 LLM 调用率 ≤ 20%（200 条明确简单指令，规则覆盖 80%）</w:t>
            </w:r>
          </w:p>
        </w:tc>
      </w:tr>
    </w:tbl>
    <w:p/>
    <w:p/>
    <w:p>
      <w:r>
        <w:t>一个是"故障态"，一个是"正常稳态"，但叙述上容易让供应商当作同一指标。</w:t>
      </w:r>
    </w:p>
    <w:p/>
    <w:p>
      <w:r/>
      <w:r>
        <w:rPr>
          <w:b/>
        </w:rPr>
        <w:t>建议</w:t>
      </w:r>
      <w:r>
        <w:t xml:space="preserve">：§2.7 那条改名 </w:t>
      </w:r>
      <w:r>
        <w:rPr>
          <w:b/>
        </w:rPr>
        <w:t>"简单指令规则路由覆盖率 ≥ 80%"</w:t>
      </w:r>
      <w:r>
        <w:t>，避免和降级率混淆。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三、指标偏激进 / 触碰国际顶尖（建议向国内行业主流回调）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当前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国内主流（讯飞/思必驰/声智/出门问问/字节火山）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波束成形 主瓣增益（4 元线阵）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6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3–5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**≥ 4 dB**（或改 6 元圆阵 ≥ 6 dB）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声视时间对齐误差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软件同步 40–60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**≤ 40 ms**（或强制硬件 PTP）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TTS 多音字/专有名词正确率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95–97%（含定制词典）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**≥ 95%**（保留 98% 作为体验指标）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单说话人正确锁定率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92%（1–3 m，180°）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88–93%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保留，但加测试条件"光照 ≥ 200 lux"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 人仲裁正确选择率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80–88%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保留（紧但可达）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Function Call 动作映射正确率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85%（复杂多轮）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75–85%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保留（可达，与模型版本绑定）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RAG P@3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70–85%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保留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危险指令拦截率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100%（白名单可保证）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✓ 必须 100%</w:t>
            </w:r>
          </w:p>
        </w:tc>
      </w:tr>
    </w:tbl>
    <w:p/>
    <w:p/>
    <w:p>
      <w:r>
        <w:t>其余指标（CER / WRR / FAR / MOS / TTFT / DOA / 待机功耗 / 阵列增益 / 嘴型同步）均处于</w:t>
      </w:r>
      <w:r>
        <w:rPr>
          <w:b/>
        </w:rPr>
        <w:t>国内主流可达区间</w:t>
      </w:r>
      <w:r>
        <w:t>，</w:t>
      </w:r>
      <w:r>
        <w:rPr>
          <w:b/>
        </w:rPr>
        <w:t>无需回调</w:t>
      </w:r>
      <w:r>
        <w:t>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四、其他建议（非阻塞）</w:t>
      </w:r>
    </w:p>
    <w:p/>
    <w:p>
      <w:pPr>
        <w:pStyle w:val="ListNumber"/>
      </w:pPr>
      <w:r>
        <w:t>§2.1 结构噪声测试条件："麦克风距电机 30 cm"是实验室口径，但机器人实际安装距离由结构件决定（关节内电机往往 10–20 cm）。建议加注："30 cm 为评测基准距离；实机部署按实际安装距离复测，按 6 dB / 倍距 折算"。</w:t>
      </w:r>
    </w:p>
    <w:p>
      <w:pPr>
        <w:pStyle w:val="ListNumber"/>
      </w:pPr>
      <w:r>
        <w:t>§2.3 唤醒模型 ≤ 10 MB：国内端侧唤醒主流是 100 KB–2 MB；10 MB 显得过松，但给供应商留余量是好事，保留。</w:t>
      </w:r>
    </w:p>
    <w:p>
      <w:pPr>
        <w:pStyle w:val="ListNumber"/>
      </w:pPr>
      <w:r>
        <w:t>§2.6 TTS 嘴型同步字级时间戳 ≤ 40 ms：合理，对齐 25 fps 嘴型驱动正好一帧，无需修改。</w:t>
      </w:r>
    </w:p>
    <w:p>
      <w:pPr>
        <w:pStyle w:val="ListNumber"/>
      </w:pPr>
      <w:r>
        <w:t>§6 C-08 时延预算建议增列"云端网络 RTT"独立行，避免被各模块在自己延迟里分摊。</w:t>
      </w:r>
    </w:p>
    <w:p>
      <w:pPr>
        <w:pStyle w:val="ListNumber"/>
      </w:pPr>
      <w:r>
        <w:t>§5.1 文档结构："五章节固定"和 §4 Step 3–7 五项产出对应，但 §4 总共 8 步，文字上易让人误以为是 8 章节。建议在 §5.1 头部加一句："文档共 5 章节（对应工作流 Step 3–7），Step 1–2、8 为内部步骤不形成章节"。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五、已应用的修订（本 PR 改动）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修改位置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§2.1 波束成形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阵列基线从"4 阵元线阵 ≥ 6 dB"改为"**6 阵元圆阵 ≥ 6 dB / 4 阵元线阵 ≥ 4 dB**"，与 §3.2 默认硬件对齐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§2.1 结构噪声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加注"30 cm 为评测基准距离；实机按实际安装距离复测"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§2.2 声视对齐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默认值改为 **≤ 40 ms**，并新增"硬件 PTP 同步时可达 ≤ 20 ms"作为体验指标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§2.3 唤醒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新增"噪声远场唤醒检测延迟 ≤ 80 ms"行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§2.4 ASR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把"首词输出延迟"重命名为"**出文延迟（VAD 句末触发→最终结果）**"，并新增"噪声环境出文延迟 ≤ 450 ms"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F-6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§2.5 / §2.7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把 §2.7 的"简单指令 LLM 调用率 ≤ 20%"明确为"简单指令规则路由覆盖率 ≥ 80%"，避免与 §2.5 降级率混淆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F-7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§2.6 TTS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多音字/专有名词正确率核心指标 **≥ 95%**，新增体验指标 ≥ 98%；TTFT 加注"不含云端网络 RTT"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F-8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§6 C-08 + 预算表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拆分**规则路径**与**LLM 路径**端到端预算，新增"云端网络 RTT ≤ 150 ms"独立行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F-9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PRD § 5.1 / § 7.1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TTS 首字节延迟显式标注"不含云端网络 RTT"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六、最终风险评估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等级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供应商交付不可达指标（4 元 6 dB / 20 ms 声视同步）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高 → **已消除**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F-1、F-3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验收时两段路径口径不一致（规则 vs LLM）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中 → **已消除**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F-8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ASR 验收双方对延迟测量起点解读不一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中 → **已消除**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F-5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跨 PRD/SOR 网络 RTT 算法不一致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中 → **已消除**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F-7、F-9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TTS 多音字 98% 在真实长尾词上可能达不到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低 → **已缓解**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F-7（拆核心/体验）</w:t>
            </w:r>
          </w:p>
        </w:tc>
      </w:tr>
    </w:tbl>
    <w:p/>
    <w:p/>
    <w:p>
      <w:r>
        <w:t xml:space="preserve">修订后的 SOR </w:t>
      </w:r>
      <w:r>
        <w:rPr>
          <w:b/>
        </w:rPr>
        <w:t>可作为对外发包基线</w:t>
      </w:r>
      <w:r>
        <w:t>，供应商按表内指标可基于国内主流声学/语音/合成栈实现，不再触碰国际顶尖天花板。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*评审日期：2026-05-27 ｜ 评审版本：SOR v1.0（用户本地命名 v2.0） ｜ 修订版本：SOR v1.1*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