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Baseline</w:t>
      </w:r>
    </w:p>
    <w:p>
      <w:pPr>
        <w:spacing w:after="80"/>
      </w:pPr>
      <w:r>
        <w:rPr>
          <w:rFonts w:ascii="Arial" w:cs="Arial" w:eastAsia="Arial" w:hAnsi="Arial"/>
          <w:color w:val="444466"/>
          <w:sz w:val="30"/>
          <w:szCs w:val="30"/>
        </w:rPr>
        <w:t xml:space="preserve">Product Backlog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Last updated: March 2026  |  3 active users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spacing w:after="120"/>
      </w:pPr>
      <w:r>
        <w:t xml:space="preserve">This backlog captures all known issues, feature requests, and improvements. Priority levels: P0 = fix now, P1 = next sprint, P2 = soon, P3 = later. Size: S = small (&lt;2hrs), M = medium (half day), L = large (1+ days).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P0 — Fix Now</w:t>
      </w:r>
    </w:p>
    <w:p>
      <w:pPr>
        <w:spacing w:after="120"/>
      </w:pPr>
      <w:r>
        <w:rPr>
          <w:color w:val="666666"/>
        </w:rPr>
        <w:t xml:space="preserve">These are active bugs or issues reported by early users that affect product quality or trust. Fix, test locally, and deploy before sharing with new users.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400"/>
        <w:gridCol w:w="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Auth &amp; Security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Frontend password match validation on registration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Auth &amp; Security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Password strength indicator and requirements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Symptom name field: increase to 200 chars + frontend validation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Description/notes fields: 500 char limit with counter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Enforce unique symptom names per user (case-insensitive)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Prevent future episode dates (frontend + backend)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Grey out sidebar nav during onboarding with tooltip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Experiments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Lower default experiment duration from 8 weeks to 3 weeks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P1 — Next Sprint</w:t>
      </w:r>
    </w:p>
    <w:p>
      <w:pPr>
        <w:spacing w:after="120"/>
      </w:pPr>
      <w:r>
        <w:rPr>
          <w:color w:val="666666"/>
        </w:rPr>
        <w:t xml:space="preserve">High-value improvements that are blocking user satisfaction or growth. Target completion within 1-2 weeks.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400"/>
        <w:gridCol w:w="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Include current partial week in trend charts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Episode Logging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Allow multiple rescue options per episode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Protocol Tracking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Manual compliance logging for users without AI check-in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Help &amp; Onboarding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Check-in tutorial section in Help page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Help &amp; Onboarding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Add Help page with all sections including Dashboard explanation — Deployed Mar 4, 2026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Privacy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Draft and publish privacy policy before broader growth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P2 — Soon</w:t>
      </w:r>
    </w:p>
    <w:p>
      <w:pPr>
        <w:spacing w:after="120"/>
      </w:pPr>
      <w:r>
        <w:rPr>
          <w:color w:val="666666"/>
        </w:rPr>
        <w:t xml:space="preserve">Important but not urgent. Build once P0 and P1 items are clear.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400"/>
        <w:gridCol w:w="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Trigger analysis: AI surfaces patterns from episode notes on 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Episode Logging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Photo attachment for episode logging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Staging environment on Railway before pushing to production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GitHub Actions basic automated testing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P3 — Later</w:t>
      </w:r>
    </w:p>
    <w:p>
      <w:pPr>
        <w:spacing w:after="120"/>
      </w:pPr>
      <w:r>
        <w:rPr>
          <w:color w:val="666666"/>
        </w:rPr>
        <w:t xml:space="preserve">Longer-term vision items. Keep visible for roadmap conversations but do not pull in until earlier priorities are stable.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400"/>
        <w:gridCol w:w="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Apple Health / HealthKit integration (requires native iOS app)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Mackenzie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Native iOS and Android apps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Monetization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Freemium tier definition and paywall implementation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Monetization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Sponsored protocol library with clear labeling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Community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Anonymized aggregate experiment outcomes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Protocol Library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Curated protocol templates by condition area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Needs Investigation</w:t>
      </w:r>
    </w:p>
    <w:p>
      <w:pPr>
        <w:spacing w:after="120"/>
      </w:pPr>
      <w:r>
        <w:rPr>
          <w:color w:val="666666"/>
        </w:rPr>
        <w:t xml:space="preserve">These items need more information before a priority or size can be assigned.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400"/>
        <w:gridCol w:w="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Verify current week chart behavior — Resolved Mar 4, 2026 (was a bug, now fixed)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TBD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Episode Logging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Evaluate use case for future episode dates — Resolved Mar 4, 2026 (prevented via frontend + backend validation)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TBD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Privacy/Legal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FTC Health Breach Notification Rule obligations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TBD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Privacy/Legal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State privacy law obligations (CCPA etc.)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TBD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Privacy/Legal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GDPR obligations if non-US users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Lizz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TBD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t xml:space="preserve">Notes</w:t>
      </w:r>
    </w:p>
    <w:p>
      <w:pPr>
        <w:spacing w:after="120"/>
      </w:pPr>
      <w:r>
        <w:t xml:space="preserve">Sources: Lizz (engineer user), Mackenzie (stepdaughter, chronic illness user), Internal (product/engineering decision).</w:t>
      </w:r>
    </w:p>
    <w:p>
      <w:pPr>
        <w:spacing w:after="120"/>
      </w:pPr>
      <w:r>
        <w:t xml:space="preserve">Mackenzie's Apple Health request requires a native iOS app — this is a significant platform investment and should be treated as a separate workstream, not a feature addition to the web app.</w:t>
      </w:r>
    </w:p>
    <w:p>
      <w:pPr>
        <w:spacing w:after="120"/>
      </w:pPr>
      <w:r>
        <w:t xml:space="preserve">Privacy/legal items from Lizz are non-code work but high importance before any paid tier or broader user growth. Worth a conversation with a lawyer familiar with health data apps.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Baseline — 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2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2026-03-03T23:59:56.878Z</dcterms:created>
  <dcterms:modified xsi:type="dcterms:W3CDTF">2026-03-03T23:59:56.879Z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