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OC1"/>
        <w:rPr>
          <w:rStyle w:val="Hyperlink"/>
        </w:rPr>
      </w:pPr>
      <w:r>
        <w:fldChar w:fldCharType="begin"/>
      </w:r>
      <w:r>
        <w:instrText xml:space="preserve">TOC \o "1-3" \u \h \z</w:instrText>
      </w:r>
      <w:r>
        <w:fldChar w:fldCharType="separate"/>
      </w:r>
      <w:hyperlink w:anchor="c2a26a79-a451-4cdf-a71e-6eb4c6979c7b" w:history="1">
        <w:r>
          <w:rPr>
            <w:rStyle w:val="Hyperlink"/>
          </w:rPr>
          <w:t>TOC Seed Heading</w:t>
        </w:r>
      </w:hyperlink>
      <w:r>
        <w:tab/>
      </w:r>
      <w:r>
        <w:t>0</w:t>
      </w:r>
      <w:r>
        <w:fldChar w:fldCharType="end"/>
      </w:r>
    </w:p>
    <w:p w:rsidRDefault="003C58BC" w14:paraId="55A91CEE" w14:textId="77777777" w:rsidR="003C58BC"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p>
      <w:pPr>
        <w:pStyle w:val="Heading1"/>
      </w:pPr>
      <w:r>
        <w:t>TOC Seed Heading</w:t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