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03c790721ff4a45" /><Relationship Type="http://schemas.openxmlformats.org/package/2006/relationships/metadata/core-properties" Target="/docProps/core.xml" Id="R5614baeba2154292" /><Relationship Type="http://schemas.openxmlformats.org/officeDocument/2006/relationships/extended-properties" Target="/docProps/app.xml" Id="R55e71717d13549ec" /><Relationship Type="http://schemas.openxmlformats.org/officeDocument/2006/relationships/custom-properties" Target="/docProps/custom.xml" Id="Rfba738bbae3140d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color w:val="1F4E79"/>
          <w:sz w:val="52"/>
        </w:rPr>
        <w:t xml:space="preserve">IBM Nutrition Agent</w:t>
      </w:r>
    </w:p>
    <w:p w14:paraId="00100002" w14:textId="00100003">
      <w:pPr>
        <w:pStyle w:val="Normal"/>
        <w:spacing w:after="80"/>
        <w:jc w:val="center"/>
      </w:pPr>
      <w:r>
        <w:rPr>
          <w:color w:val="555555"/>
          <w:sz w:val="28"/>
        </w:rPr>
        <w:t xml:space="preserve">AI-Powered Multi-Agent Nutrition Guidance System</w:t>
      </w:r>
    </w:p>
    <w:p w14:paraId="00100004" w14:textId="00100005">
      <w:pPr>
        <w:pStyle w:val="Normal"/>
        <w:spacing w:after="320"/>
        <w:jc w:val="center"/>
      </w:pPr>
      <w:r>
        <w:rPr>
          <w:color w:val="888888"/>
          <w:sz w:val="24"/>
        </w:rPr>
        <w:t xml:space="preserve">Problem Statement Document</w:t>
      </w:r>
    </w:p>
    <w:p w14:paraId="00100006" w14:textId="00100007">
      <w:pPr>
        <w:pStyle w:val="Heading1"/>
        <w:spacing w:before="240" w:after="120"/>
      </w:pPr>
      <w:r>
        <w:rPr>
          <w:b/>
          <w:color w:val="1F4E79"/>
          <w:sz w:val="32"/>
        </w:rPr>
        <w:t xml:space="preserve">1. Problem Statement</w:t>
      </w:r>
    </w:p>
    <w:p w14:paraId="00100008" w14:textId="00100009">
      <w:pPr>
        <w:pStyle w:val="Normal"/>
        <w:spacing w:after="160"/>
      </w:pPr>
      <w:r>
        <w:rPr>
          <w:sz w:val="22"/>
        </w:rPr>
        <w:t xml:space="preserve">Nutrition-related chronic diseases — including diabetes, hypertension, cardiovascular disease, obesity, and chronic kidney disease — represent a global health crisis. According to the World Health Organization (WHO), poor diet is among the top risk factors for premature mortality worldwide, responsible for 11 million deaths annually. Despite this, the majority of individuals lack access to personalised, evidence-based dietary guidance that accounts for their unique health profile, cultural background, allergies, and fitness goals.</w:t>
      </w:r>
    </w:p>
    <w:p w14:paraId="0010000A" w14:textId="0010000B">
      <w:pPr>
        <w:pStyle w:val="Normal"/>
        <w:spacing w:after="160"/>
      </w:pPr>
      <w:r>
        <w:rPr>
          <w:sz w:val="22"/>
        </w:rPr>
        <w:t xml:space="preserve">Existing nutrition applications are either too generic (one-size-fits-all meal templates), prohibitively expensive (requiring private dietitian consultations), or clinically incomplete (failing to account for co-morbidities and medication interactions). There is a critical gap between what modern AI can provide and what individuals actually receive in terms of personalised nutritional care.</w:t>
      </w:r>
    </w:p>
    <w:p w14:paraId="0010000C" w14:textId="0010000D">
      <w:pPr>
        <w:pStyle w:val="Heading1"/>
        <w:spacing w:before="240" w:after="120"/>
      </w:pPr>
      <w:r>
        <w:rPr>
          <w:b/>
          <w:color w:val="1F4E79"/>
          <w:sz w:val="32"/>
        </w:rPr>
        <w:t xml:space="preserve">2. Background &amp; Context</w:t>
      </w:r>
    </w:p>
    <w:p w14:paraId="0010000E" w14:textId="0010000F">
      <w:pPr>
        <w:pStyle w:val="Normal"/>
        <w:spacing w:after="160"/>
      </w:pPr>
      <w:r>
        <w:rPr>
          <w:sz w:val="22"/>
        </w:rPr>
        <w:t xml:space="preserve">The convergence of Large Language Models (LLMs), Retrieval-Augmented Generation (RAG), and multi-agent AI architectures now makes it possible to build systems that reason over medical knowledge bases, adapt to individual user profiles, and deliver actionable dietary guidance at scale. IBM's watsonx.ai platform — powered by the Granite family of foundation models — provides enterprise-grade AI capabilities including responsible, explainable, and privacy-preserving inference.</w:t>
      </w:r>
    </w:p>
    <w:p w14:paraId="00100010" w14:textId="00100011">
      <w:pPr>
        <w:pStyle w:val="Normal"/>
        <w:spacing w:after="160"/>
      </w:pPr>
      <w:r>
        <w:rPr>
          <w:sz w:val="22"/>
        </w:rPr>
        <w:t xml:space="preserve">The USDA FoodData Central API provides a comprehensive, publicly available database of over 600,000 food items with detailed nutritional composition data, enabling accurate, real-time food nutrient lookups to complement LLM-based reasoning.</w:t>
      </w:r>
    </w:p>
    <w:p w14:paraId="00100012" w14:textId="00100013">
      <w:pPr>
        <w:pStyle w:val="Heading1"/>
        <w:spacing w:before="240" w:after="120"/>
      </w:pPr>
      <w:r>
        <w:rPr>
          <w:b/>
          <w:color w:val="1F4E79"/>
          <w:sz w:val="32"/>
        </w:rPr>
        <w:t xml:space="preserve">3. Core Problem Areas</w:t>
      </w:r>
    </w:p>
    <w:p w14:paraId="00100014" w14:textId="00100015">
      <w:pPr>
        <w:pStyle w:val="Heading2"/>
        <w:spacing w:before="160" w:after="80"/>
      </w:pPr>
      <w:r>
        <w:rPr>
          <w:b/>
          <w:color w:val="2E74B5"/>
          <w:sz w:val="26"/>
        </w:rPr>
        <w:t xml:space="preserve">3.1  Lack of Personalisation</w:t>
      </w:r>
    </w:p>
    <w:p w14:paraId="00100016" w14:textId="00100017">
      <w:pPr>
        <w:pStyle w:val="Normal"/>
        <w:spacing w:after="160"/>
      </w:pPr>
      <w:r>
        <w:rPr>
          <w:sz w:val="22"/>
        </w:rPr>
        <w:t xml:space="preserve">Generic meal plans ignore individual factors such as age, gender, BMI, activity level, health conditions, cultural food preferences, religious dietary laws, and allergies. A diabetic South Asian vegetarian woman with a shellfish allergy requires fundamentally different guidance than a hypertensive omnivorous male athlete — yet most apps treat them identically.</w:t>
      </w:r>
    </w:p>
    <w:p w14:paraId="00100018" w14:textId="00100019">
      <w:pPr>
        <w:pStyle w:val="Heading2"/>
        <w:spacing w:before="160" w:after="80"/>
      </w:pPr>
      <w:r>
        <w:rPr>
          <w:b/>
          <w:color w:val="2E74B5"/>
          <w:sz w:val="26"/>
        </w:rPr>
        <w:t xml:space="preserve">3.2  Limited Disease-Specific Dietary Knowledge</w:t>
      </w:r>
    </w:p>
    <w:p w14:paraId="0010001A" w14:textId="0010001B">
      <w:pPr>
        <w:pStyle w:val="Normal"/>
        <w:spacing w:after="160"/>
      </w:pPr>
      <w:r>
        <w:rPr>
          <w:sz w:val="22"/>
        </w:rPr>
        <w:t xml:space="preserve">Managing nutrition alongside chronic diseases such as diabetes (carbohydrate restriction, glycaemic index awareness), hypertension (DASH diet, sodium limits), chronic kidney disease (phosphorus and potassium restrictions), and coeliac disease (strict gluten avoidance) requires specialised knowledge that general-purpose applications cannot safely provide.</w:t>
      </w:r>
    </w:p>
    <w:p w14:paraId="0010001C" w14:textId="0010001D">
      <w:pPr>
        <w:pStyle w:val="Heading2"/>
        <w:spacing w:before="160" w:after="80"/>
      </w:pPr>
      <w:r>
        <w:rPr>
          <w:b/>
          <w:color w:val="2E74B5"/>
          <w:sz w:val="26"/>
        </w:rPr>
        <w:t xml:space="preserve">3.3  Friction in Meal Logging</w:t>
      </w:r>
    </w:p>
    <w:p w14:paraId="0010001E" w14:textId="0010001F">
      <w:pPr>
        <w:pStyle w:val="Normal"/>
        <w:spacing w:after="160"/>
      </w:pPr>
      <w:r>
        <w:rPr>
          <w:sz w:val="22"/>
        </w:rPr>
        <w:t xml:space="preserve">Current food logging tools require manual entry of structured data, which is time-consuming and error-prone. Users need natural, multimodal logging — describing meals in plain text, photographing food labels, or using voice input — with automatic nutritional analysis and contextual feedback.</w:t>
      </w:r>
    </w:p>
    <w:p w14:paraId="00100020" w14:textId="00100021">
      <w:pPr>
        <w:pStyle w:val="Heading2"/>
        <w:spacing w:before="160" w:after="80"/>
      </w:pPr>
      <w:r>
        <w:rPr>
          <w:b/>
          <w:color w:val="2E74B5"/>
          <w:sz w:val="26"/>
        </w:rPr>
        <w:t xml:space="preserve">3.4  Inaccessible Nutritional Knowledge</w:t>
      </w:r>
    </w:p>
    <w:p w14:paraId="00100022" w14:textId="00100023">
      <w:pPr>
        <w:pStyle w:val="Normal"/>
        <w:spacing w:after="160"/>
      </w:pPr>
      <w:r>
        <w:rPr>
          <w:sz w:val="22"/>
        </w:rPr>
        <w:t xml:space="preserve">Validated nutritional science is scattered across medical journals, government databases, and institutional guidelines. Individuals cannot efficiently query, synthesise, and apply this knowledge without professional mediation. A RAG-powered knowledge agent can bridge this gap by grounding LLM responses in curated, trustworthy nutrition literature.</w:t>
      </w:r>
    </w:p>
    <w:p w14:paraId="00100024" w14:textId="00100025">
      <w:pPr>
        <w:pStyle w:val="Heading1"/>
        <w:spacing w:before="240" w:after="120"/>
      </w:pPr>
      <w:r>
        <w:rPr>
          <w:b/>
          <w:color w:val="1F4E79"/>
          <w:sz w:val="32"/>
        </w:rPr>
        <w:t xml:space="preserve">4. Proposed Solution</w:t>
      </w:r>
    </w:p>
    <w:p w14:paraId="00100026" w14:textId="00100027">
      <w:pPr>
        <w:pStyle w:val="Normal"/>
        <w:spacing w:after="160"/>
      </w:pPr>
      <w:r>
        <w:rPr>
          <w:sz w:val="22"/>
        </w:rPr>
        <w:t xml:space="preserve">The IBM Nutrition Agent is a multi-agent AI system built on IBM Granite models via watsonx.ai. It orchestrates four specialised agents to deliver end-to-end personalised nutrition guidance: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8" w14:textId="00100029">
            <w:r>
              <w:t xml:space="preserve">Agent</w:t>
            </w:r>
          </w:p>
        </w:tc>
        <w:tc>
          <w:p w14:paraId="0010002A" w14:textId="0010002B">
            <w:r>
              <w:t xml:space="preserve">Responsibility</w:t>
            </w:r>
          </w:p>
        </w:tc>
        <w:tc>
          <w:p w14:paraId="0010002C" w14:textId="0010002D">
            <w:r>
              <w:t xml:space="preserve">Key Technology</w:t>
            </w:r>
          </w:p>
        </w:tc>
      </w:tr>
      <w:tr>
        <w:trPr/>
        <w:tc>
          <w:p w14:paraId="0010002E" w14:textId="0010002F">
            <w:r>
              <w:t xml:space="preserve">Nutrition Knowledge Agent</w:t>
            </w:r>
          </w:p>
        </w:tc>
        <w:tc>
          <w:p w14:paraId="00100030" w14:textId="00100031">
            <w:r>
              <w:t xml:space="preserve">RAG over curated nutrition knowledge base + live USDA food lookup</w:t>
            </w:r>
          </w:p>
        </w:tc>
        <w:tc>
          <w:p w14:paraId="00100032" w14:textId="00100033">
            <w:r>
              <w:t xml:space="preserve">ChromaDB · Granite Embeddings · USDA FDC API</w:t>
            </w:r>
          </w:p>
        </w:tc>
      </w:tr>
      <w:tr>
        <w:trPr/>
        <w:tc>
          <w:p w14:paraId="00100034" w14:textId="00100035">
            <w:r>
              <w:t xml:space="preserve">Diet Recommendation Agent</w:t>
            </w:r>
          </w:p>
        </w:tc>
        <w:tc>
          <w:p w14:paraId="00100036" w14:textId="00100037">
            <w:r>
              <w:t xml:space="preserve">Personalised multi-day meal plans respecting allergies, conditions, culture &amp; fitness goals</w:t>
            </w:r>
          </w:p>
        </w:tc>
        <w:tc>
          <w:p w14:paraId="00100038" w14:textId="00100039">
            <w:r>
              <w:t xml:space="preserve">Granite LLM · Mifflin-St Jeor TDEE formula</w:t>
            </w:r>
          </w:p>
        </w:tc>
      </w:tr>
      <w:tr>
        <w:trPr/>
        <w:tc>
          <w:p w14:paraId="0010003A" w14:textId="0010003B">
            <w:r>
              <w:t xml:space="preserve">Health Advisory Agent</w:t>
            </w:r>
          </w:p>
        </w:tc>
        <w:tc>
          <w:p w14:paraId="0010003C" w14:textId="0010003D">
            <w:r>
              <w:t xml:space="preserve">Disease-specific dietary guidance for diabetes, hypertension, CKD, heart disease, coeliac, obesity</w:t>
            </w:r>
          </w:p>
        </w:tc>
        <w:tc>
          <w:p w14:paraId="0010003E" w14:textId="0010003F">
            <w:r>
              <w:t xml:space="preserve">Granite LLM · RAG · Risk flagging</w:t>
            </w:r>
          </w:p>
        </w:tc>
      </w:tr>
      <w:tr>
        <w:trPr/>
        <w:tc>
          <w:p w14:paraId="00100040" w14:textId="00100041">
            <w:r>
              <w:t xml:space="preserve">Food Log &amp; Feedback Agent</w:t>
            </w:r>
          </w:p>
        </w:tc>
        <w:tc>
          <w:p w14:paraId="00100042" w14:textId="00100043">
            <w:r>
              <w:t xml:space="preserve">Meal logging via text, image OCR, or voice + nutritional analysis + daily summary</w:t>
            </w:r>
          </w:p>
        </w:tc>
        <w:tc>
          <w:p w14:paraId="00100044" w14:textId="00100045">
            <w:r>
              <w:t xml:space="preserve">USDA FDC API · OCR · Speech-to-text · Granite LLM</w:t>
            </w:r>
          </w:p>
        </w:tc>
      </w:tr>
    </w:tbl>
    <w:p w14:paraId="00100046" w14:textId="00100047">
      <w:pPr>
        <w:spacing w:after="80"/>
      </w:pPr>
      <w:r>
        <w:rPr/>
        <w:t xml:space="preserve"/>
      </w:r>
    </w:p>
    <w:p w14:paraId="00100048" w14:textId="00100049">
      <w:pPr>
        <w:pStyle w:val="Normal"/>
        <w:spacing w:after="160"/>
      </w:pPr>
      <w:r>
        <w:rPr>
          <w:sz w:val="22"/>
        </w:rPr>
        <w:t xml:space="preserve">The system exposes a FastAPI REST backend, an interactive dashboard (Chart.js), and a ChromaDB vector store for persistent nutritional knowledge retrieval. A demo/fallback mode uses local sentence-transformers embeddings, ensuring the system is testable without cloud credentials.</w:t>
      </w:r>
    </w:p>
    <w:p w14:paraId="0010004A" w14:textId="0010004B">
      <w:pPr>
        <w:pStyle w:val="Heading1"/>
        <w:spacing w:before="240" w:after="120"/>
      </w:pPr>
      <w:r>
        <w:rPr>
          <w:b/>
          <w:color w:val="1F4E79"/>
          <w:sz w:val="32"/>
        </w:rPr>
        <w:t xml:space="preserve">5. Objectives</w:t>
      </w:r>
    </w:p>
    <w:p w14:paraId="0010004C" w14:textId="0010004D">
      <w:pPr>
        <w:pStyle w:val="Normal"/>
        <w:numPr>
          <w:ilvl w:val="0"/>
          <w:numId w:val="1"/>
        </w:numPr>
        <w:spacing w:after="80"/>
      </w:pPr>
      <w:r>
        <w:rPr>
          <w:sz w:val="22"/>
        </w:rPr>
        <w:t xml:space="preserve">1.  Deliver personalised, calorie- and macro-accurate multi-day meal plans using the Mifflin-St Jeor TDEE formula and condition-specific macro adjustments.</w:t>
      </w:r>
    </w:p>
    <w:p w14:paraId="0010004E" w14:textId="0010004F">
      <w:pPr>
        <w:pStyle w:val="Normal"/>
        <w:numPr>
          <w:ilvl w:val="0"/>
          <w:numId w:val="1"/>
        </w:numPr>
        <w:spacing w:after="80"/>
      </w:pPr>
      <w:r>
        <w:rPr>
          <w:sz w:val="22"/>
        </w:rPr>
        <w:t xml:space="preserve">2.  Provide evidence-based disease-specific dietary advice for diabetes, hypertension, heart disease, CKD, coeliac disease, and obesity.</w:t>
      </w:r>
    </w:p>
    <w:p w14:paraId="00100050" w14:textId="00100051">
      <w:pPr>
        <w:pStyle w:val="Normal"/>
        <w:numPr>
          <w:ilvl w:val="0"/>
          <w:numId w:val="1"/>
        </w:numPr>
        <w:spacing w:after="80"/>
      </w:pPr>
      <w:r>
        <w:rPr>
          <w:sz w:val="22"/>
        </w:rPr>
        <w:t xml:space="preserve">3.  Enable natural multimodal meal logging (text, image OCR, voice) with real-time nutritional analysis via USDA FoodData Central API.</w:t>
      </w:r>
    </w:p>
    <w:p w14:paraId="00100052" w14:textId="00100053">
      <w:pPr>
        <w:pStyle w:val="Normal"/>
        <w:numPr>
          <w:ilvl w:val="0"/>
          <w:numId w:val="1"/>
        </w:numPr>
        <w:spacing w:after="80"/>
      </w:pPr>
      <w:r>
        <w:rPr>
          <w:sz w:val="22"/>
        </w:rPr>
        <w:t xml:space="preserve">4.  Ground all nutritional knowledge responses in curated literature via RAG (ChromaDB + Granite embeddings).</w:t>
      </w:r>
    </w:p>
    <w:p w14:paraId="00100054" w14:textId="00100055">
      <w:pPr>
        <w:pStyle w:val="Normal"/>
        <w:numPr>
          <w:ilvl w:val="0"/>
          <w:numId w:val="1"/>
        </w:numPr>
        <w:spacing w:after="160"/>
      </w:pPr>
      <w:r>
        <w:rPr>
          <w:sz w:val="22"/>
        </w:rPr>
        <w:t xml:space="preserve">5.  Demonstrate responsible, explainable AI powered by IBM watsonx.ai with clear medical disclaimers.</w:t>
      </w:r>
    </w:p>
    <w:p w14:paraId="00100056" w14:textId="00100057">
      <w:pPr>
        <w:pStyle w:val="Heading1"/>
        <w:spacing w:before="240" w:after="120"/>
      </w:pPr>
      <w:r>
        <w:rPr>
          <w:b/>
          <w:color w:val="1F4E79"/>
          <w:sz w:val="32"/>
        </w:rPr>
        <w:t xml:space="preserve">6. Technical Stack</w:t>
      </w:r>
    </w:p>
    <w:p w14:paraId="00100058" w14:textId="00100059">
      <w:pPr>
        <w:pStyle w:val="Normal"/>
        <w:numPr>
          <w:ilvl w:val="0"/>
          <w:numId w:val="2"/>
        </w:numPr>
        <w:spacing w:after="80"/>
      </w:pPr>
      <w:r>
        <w:rPr>
          <w:sz w:val="22"/>
        </w:rPr>
        <w:t xml:space="preserve">LLM:  IBM Granite 13B Instruct v2 via watsonx.ai</w:t>
      </w:r>
    </w:p>
    <w:p w14:paraId="0010005A" w14:textId="0010005B">
      <w:pPr>
        <w:pStyle w:val="Normal"/>
        <w:numPr>
          <w:ilvl w:val="0"/>
          <w:numId w:val="2"/>
        </w:numPr>
        <w:spacing w:after="80"/>
      </w:pPr>
      <w:r>
        <w:rPr>
          <w:sz w:val="22"/>
        </w:rPr>
        <w:t xml:space="preserve">Embeddings:  IBM Slate 125M English via watsonx.ai (fallback: sentence-transformers/all-MiniLM-L6-v2)</w:t>
      </w:r>
    </w:p>
    <w:p w14:paraId="0010005C" w14:textId="0010005D">
      <w:pPr>
        <w:pStyle w:val="Normal"/>
        <w:numPr>
          <w:ilvl w:val="0"/>
          <w:numId w:val="2"/>
        </w:numPr>
        <w:spacing w:after="80"/>
      </w:pPr>
      <w:r>
        <w:rPr>
          <w:sz w:val="22"/>
        </w:rPr>
        <w:t xml:space="preserve">RAG Framework:  LangChain 0.2 + ChromaDB persistent vector store</w:t>
      </w:r>
    </w:p>
    <w:p w14:paraId="0010005E" w14:textId="0010005F">
      <w:pPr>
        <w:pStyle w:val="Normal"/>
        <w:numPr>
          <w:ilvl w:val="0"/>
          <w:numId w:val="2"/>
        </w:numPr>
        <w:spacing w:after="80"/>
      </w:pPr>
      <w:r>
        <w:rPr>
          <w:sz w:val="22"/>
        </w:rPr>
        <w:t xml:space="preserve">API Backend:  FastAPI + Uvicorn (Python 3.11)</w:t>
      </w:r>
    </w:p>
    <w:p w14:paraId="00100060" w14:textId="00100061">
      <w:pPr>
        <w:pStyle w:val="Normal"/>
        <w:numPr>
          <w:ilvl w:val="0"/>
          <w:numId w:val="2"/>
        </w:numPr>
        <w:spacing w:after="80"/>
      </w:pPr>
      <w:r>
        <w:rPr>
          <w:sz w:val="22"/>
        </w:rPr>
        <w:t xml:space="preserve">Food Data:  USDA FoodData Central REST API</w:t>
      </w:r>
    </w:p>
    <w:p w14:paraId="00100062" w14:textId="00100063">
      <w:pPr>
        <w:pStyle w:val="Normal"/>
        <w:numPr>
          <w:ilvl w:val="0"/>
          <w:numId w:val="2"/>
        </w:numPr>
        <w:spacing w:after="80"/>
      </w:pPr>
      <w:r>
        <w:rPr>
          <w:sz w:val="22"/>
        </w:rPr>
        <w:t xml:space="preserve">Image Processing:  Pytesseract OCR + Pillow</w:t>
      </w:r>
    </w:p>
    <w:p w14:paraId="00100064" w14:textId="00100065">
      <w:pPr>
        <w:pStyle w:val="Normal"/>
        <w:numPr>
          <w:ilvl w:val="0"/>
          <w:numId w:val="2"/>
        </w:numPr>
        <w:spacing w:after="80"/>
      </w:pPr>
      <w:r>
        <w:rPr>
          <w:sz w:val="22"/>
        </w:rPr>
        <w:t xml:space="preserve">Voice Input:  SpeechRecognition (Google STT)</w:t>
      </w:r>
    </w:p>
    <w:p w14:paraId="00100066" w14:textId="00100067">
      <w:pPr>
        <w:pStyle w:val="Normal"/>
        <w:numPr>
          <w:ilvl w:val="0"/>
          <w:numId w:val="2"/>
        </w:numPr>
        <w:spacing w:after="160"/>
      </w:pPr>
      <w:r>
        <w:rPr>
          <w:sz w:val="22"/>
        </w:rPr>
        <w:t xml:space="preserve">Validation:  Pydantic v2</w:t>
      </w:r>
    </w:p>
    <w:p w14:paraId="00100068" w14:textId="00100069">
      <w:pPr>
        <w:pStyle w:val="Heading1"/>
        <w:spacing w:before="240" w:after="120"/>
      </w:pPr>
      <w:r>
        <w:rPr>
          <w:b/>
          <w:color w:val="1F4E79"/>
          <w:sz w:val="32"/>
        </w:rPr>
        <w:t xml:space="preserve">7. Expected Impact</w:t>
      </w:r>
    </w:p>
    <w:p w14:paraId="0010006A" w14:textId="0010006B">
      <w:pPr>
        <w:pStyle w:val="Normal"/>
        <w:spacing w:after="120"/>
      </w:pPr>
      <w:r>
        <w:rPr>
          <w:sz w:val="22"/>
        </w:rPr>
        <w:t xml:space="preserve">By democratising access to personalised, evidence-based nutrition guidance, the IBM Nutrition Agent aims to:</w:t>
      </w:r>
    </w:p>
    <w:p w14:paraId="0010006C" w14:textId="0010006D">
      <w:pPr>
        <w:pStyle w:val="Normal"/>
        <w:numPr>
          <w:ilvl w:val="0"/>
          <w:numId w:val="3"/>
        </w:numPr>
        <w:spacing w:after="80"/>
      </w:pPr>
      <w:r>
        <w:rPr>
          <w:sz w:val="22"/>
        </w:rPr>
        <w:t xml:space="preserve">Reduce the burden of diet-related chronic diseases by empowering individuals to make informed food choices.</w:t>
      </w:r>
    </w:p>
    <w:p w14:paraId="0010006E" w14:textId="0010006F">
      <w:pPr>
        <w:pStyle w:val="Normal"/>
        <w:numPr>
          <w:ilvl w:val="0"/>
          <w:numId w:val="3"/>
        </w:numPr>
        <w:spacing w:after="80"/>
      </w:pPr>
      <w:r>
        <w:rPr>
          <w:sz w:val="22"/>
        </w:rPr>
        <w:t xml:space="preserve">Bridge the accessibility gap between professional dietitian services and general public needs.</w:t>
      </w:r>
    </w:p>
    <w:p w14:paraId="00100070" w14:textId="00100071">
      <w:pPr>
        <w:pStyle w:val="Normal"/>
        <w:numPr>
          <w:ilvl w:val="0"/>
          <w:numId w:val="3"/>
        </w:numPr>
        <w:spacing w:after="80"/>
      </w:pPr>
      <w:r>
        <w:rPr>
          <w:sz w:val="22"/>
        </w:rPr>
        <w:t xml:space="preserve">Demonstrate IBM watsonx.ai's capability as a foundation for responsible, domain-specific AI applications in healthcare and wellness.</w:t>
      </w:r>
    </w:p>
    <w:p w14:paraId="00100072" w14:textId="00100073">
      <w:pPr>
        <w:pStyle w:val="Normal"/>
        <w:numPr>
          <w:ilvl w:val="0"/>
          <w:numId w:val="3"/>
        </w:numPr>
        <w:spacing w:after="240"/>
      </w:pPr>
      <w:r>
        <w:rPr>
          <w:sz w:val="22"/>
        </w:rPr>
        <w:t xml:space="preserve">Showcase multi-agent AI architecture as a scalable pattern for complex, multi-step reasoning tasks.</w:t>
      </w:r>
    </w:p>
    <w:p w14:paraId="00100074" w14:textId="00100075">
      <w:pPr>
        <w:pStyle w:val="Heading2"/>
        <w:spacing w:before="160" w:after="80"/>
      </w:pPr>
      <w:r>
        <w:rPr>
          <w:b/>
          <w:color w:val="C00000"/>
          <w:sz w:val="24"/>
        </w:rPr>
        <w:t xml:space="preserve">⚠️  Medical Disclaimer</w:t>
      </w:r>
    </w:p>
    <w:p w14:paraId="00100076" w14:textId="00100077">
      <w:pPr>
        <w:pStyle w:val="Normal"/>
        <w:spacing w:after="160"/>
      </w:pPr>
      <w:r>
        <w:rPr>
          <w:color w:val="888888"/>
          <w:sz w:val="20"/>
        </w:rPr>
        <w:t xml:space="preserve">This system provides general dietary information and guidance only. It does not replace the advice of a qualified healthcare professional, registered dietitian, or physician. Always consult a medical professional before making significant dietary changes, especially for managing chronic diseases.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517a53b197354e9d" /><Relationship Type="http://schemas.openxmlformats.org/officeDocument/2006/relationships/styles" Target="/word/styles.xml" Id="Rbe2e281a985a481a" /><Relationship Type="http://schemas.openxmlformats.org/officeDocument/2006/relationships/theme" Target="/word/theme/theme1.xml" Id="R939b0869f5a64da4" /><Relationship Type="http://schemas.openxmlformats.org/officeDocument/2006/relationships/numbering" Target="/word/numbering.xml" Id="R631f90d25a1a4d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2026-10-14T14:29:35Z</dcterms:created>
  <cp:lastModifiedBy>OfficeCLI</cp:lastModifiedBy>
  <dcterms:modified xsi:type="dcterms:W3CDTF">2026-10-14T14:29:35Z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2026-10-14T14:29:53Z</vt:lpwstr>
  </op:property>
</op:Properties>
</file>