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КЛИНИЧЕСКАЯ КАРТИНА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Пациент жалуется на кашель, который начался около 2 месяцев назад. Кашель преимущественно сухой или с небольшим количеством мокроты, без явной суточной зависимости от позы тела, нагрузки или помещения. Иногда после приступа кашля голос временно исчезает. Отмечается наличие хронических изменений в миндалинах, но нет признаков ОРВИ, одышки и боли в грудной клетке.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ДИАГНОЗ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Основной диагноз: Психические и поведенческие расстройства, вызванные употреблением табака (F17.2) Стадия/форма: Синдром зависимости от табака Сопутствующие: • Железодефицитная анемия (D50)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РЕКОМЕНДУЕМАЯ ТЕРАПИЯ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• </w:t>
      </w:r>
      <w:proofErr w:type="spellStart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Бупропион</w:t>
      </w:r>
      <w:proofErr w:type="spellEnd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 150 мг перорально 2 раза/сутки длительно — препарат первой линии при никотиновой зависимости (доказательность: A, источник: КР Минздрава РФ 601_2) • Когнитивно-поведенческая терапия — рекомендовано для улучшения комплаенса и снижения тяги к никотину (доказательность: A, источник: КР Минздрава РФ 601_2)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АЛЬТЕРНАТИВНЫЕ РЕЖИМЫ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• </w:t>
      </w:r>
      <w:proofErr w:type="spellStart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Варениклин</w:t>
      </w:r>
      <w:proofErr w:type="spellEnd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 1 мг перорально 2 раза/сутки длительно — альтернативный препарат при никотиновой зависимости (доказательность: A, источник: КР Минздрава РФ 601_2)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ПРОТИВОПОКАЗАНИЯ И ПРЕДУПРЕЖДЕНИЯ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Противопоказания: • Активная психическая болезнь Предупреждения: • С осторожностью при сердечно-сосудистых заболеваниях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ЛЕКАРСТВЕННЫЕ ВЗАИМОДЕЙСТВИЯ (DDI)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Выявленных взаимодействий нет.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МОНИТОРИНГ И КОНТРОЛЬ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Контроль: • Состояние пациента через 1 месяц после начала терапии для оценки эффективности и безопасности лечения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КЛИНИЧЕСКИЕ ПУТИ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Соответствует клиническим рекомендациям Минздрава РФ по лечению никотиновой зависимости (601_2).</w:t>
      </w:r>
    </w:p>
    <w:p w:rsidR="002B0186" w:rsidRPr="002B0186" w:rsidRDefault="002B0186" w:rsidP="002B018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РЕЗЮМЕ</w:t>
      </w:r>
    </w:p>
    <w:p w:rsidR="002B0186" w:rsidRPr="002B0186" w:rsidRDefault="002B0186" w:rsidP="002B018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У пациента психические и поведенческие расстройства, вызванные употреблением табака (F17.2). Назначена терапия </w:t>
      </w:r>
      <w:proofErr w:type="spellStart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>бупропионом</w:t>
      </w:r>
      <w:proofErr w:type="spellEnd"/>
      <w:r w:rsidRPr="002B0186">
        <w:rPr>
          <w:rFonts w:ascii="Segoe UI" w:eastAsia="Times New Roman" w:hAnsi="Segoe UI" w:cs="Segoe UI"/>
          <w:sz w:val="21"/>
          <w:szCs w:val="21"/>
          <w:lang w:eastAsia="ru-RU"/>
        </w:rPr>
        <w:t xml:space="preserve"> 150 мг перорально 2 раза/сутки длительно с когнитивно-поведенческой терапией. Прогноз благоприятный при соблюдении рекомендаций.</w:t>
      </w:r>
    </w:p>
    <w:p w:rsidR="00CD1AEA" w:rsidRDefault="00CD1AEA" w:rsidP="00CD1AEA">
      <w:pPr>
        <w:pStyle w:val="mb-2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На основе предоставленного клинического случая и с учетом жалоб пациента, можно предложить следующие анализы для уточнения диагноза: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Общий анализ крови (ОАК)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Проверить наличие инфекционных процессов или воспалительных изменений.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Биохимический анализ крови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Определение уровня креатинина, мочевины, электролитов для оценки функции почек и других органов.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Общий белок, альбумин для оценки общего состояния пациента.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Анализ на железо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Сывороточный ферритин, трансферрин, сывороточное железо для уточнения степени анемии и метаболизма железа.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Иммунологические исследования (если есть подозрение на аутоиммунные процессы)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Антиядерный антиген (АНА), ревматоидный фактор (РФ).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Туберкулин-тест</w:t>
      </w:r>
      <w:r>
        <w:rPr>
          <w:rFonts w:ascii="Segoe UI" w:hAnsi="Segoe UI" w:cs="Segoe UI"/>
          <w:sz w:val="21"/>
          <w:szCs w:val="21"/>
        </w:rPr>
        <w:t> или </w:t>
      </w:r>
      <w:r>
        <w:rPr>
          <w:rStyle w:val="a3"/>
          <w:rFonts w:ascii="Segoe UI" w:hAnsi="Segoe UI" w:cs="Segoe UI"/>
          <w:sz w:val="21"/>
          <w:szCs w:val="21"/>
        </w:rPr>
        <w:t>Интерферон-гамма-тест</w:t>
      </w:r>
      <w:r>
        <w:rPr>
          <w:rFonts w:ascii="Segoe UI" w:hAnsi="Segoe UI" w:cs="Segoe UI"/>
          <w:sz w:val="21"/>
          <w:szCs w:val="21"/>
        </w:rPr>
        <w:t> для исключения туберкулёза.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ПЦР на вирусы, вызывающие пневмонию</w:t>
      </w:r>
      <w:r>
        <w:rPr>
          <w:rFonts w:ascii="Segoe UI" w:hAnsi="Segoe UI" w:cs="Segoe UI"/>
          <w:sz w:val="21"/>
          <w:szCs w:val="21"/>
        </w:rPr>
        <w:t>, если есть подозрение на инфекционные причины кашля (например, ВИЧ, герпес).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Анализ мокроты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Если пациент выделяет мокроту, можно провести микроскопическое исследование и посев для определения возбудителя.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Рентгенография грудной клетки в прямой проекции</w:t>
      </w:r>
      <w:r>
        <w:rPr>
          <w:rFonts w:ascii="Segoe UI" w:hAnsi="Segoe UI" w:cs="Segoe UI"/>
          <w:sz w:val="21"/>
          <w:szCs w:val="21"/>
        </w:rPr>
        <w:t>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Для исключения пневмонии или других заболеваний легких.</w:t>
      </w:r>
    </w:p>
    <w:p w:rsidR="00CD1AEA" w:rsidRDefault="00CD1AEA" w:rsidP="00CD1AEA">
      <w:pPr>
        <w:pStyle w:val="mb-2"/>
        <w:numPr>
          <w:ilvl w:val="0"/>
          <w:numId w:val="1"/>
        </w:numPr>
        <w:spacing w:before="0" w:beforeAutospacing="0" w:after="0" w:afterAutospacing="0"/>
        <w:ind w:left="240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Функциональная диагностика органов дыхания</w:t>
      </w:r>
      <w:r>
        <w:rPr>
          <w:rFonts w:ascii="Segoe UI" w:hAnsi="Segoe UI" w:cs="Segoe UI"/>
          <w:sz w:val="21"/>
          <w:szCs w:val="21"/>
        </w:rPr>
        <w:t> (если есть подозрение на бронхиальную астму):</w:t>
      </w:r>
    </w:p>
    <w:p w:rsidR="00CD1AEA" w:rsidRDefault="00CD1AEA" w:rsidP="00CD1AEA">
      <w:pPr>
        <w:pStyle w:val="leading-relaxed"/>
        <w:numPr>
          <w:ilvl w:val="1"/>
          <w:numId w:val="1"/>
        </w:numPr>
        <w:spacing w:before="0" w:beforeAutospacing="0" w:after="0" w:afterAutospacing="0"/>
        <w:ind w:left="48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ФВД, спирометрия.</w:t>
      </w:r>
    </w:p>
    <w:p w:rsidR="00CD1AEA" w:rsidRDefault="00CD1AEA" w:rsidP="00CD1AEA">
      <w:pPr>
        <w:pStyle w:val="mb-2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Эти анализы помогут уточнить причины кашля и исключить возможные патологические состояния. Если результаты анализов будут неинформативными или отсутствуют явные симптомы заболеваний органов дыхания, можно рассмотреть другие возможные причины (например, рефлекторный кашель из-за табакокурения).</w:t>
      </w:r>
    </w:p>
    <w:p w:rsidR="00811764" w:rsidRDefault="00811764">
      <w:bookmarkStart w:id="0" w:name="_GoBack"/>
      <w:bookmarkEnd w:id="0"/>
    </w:p>
    <w:sectPr w:rsidR="00811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E1512"/>
    <w:multiLevelType w:val="multilevel"/>
    <w:tmpl w:val="258E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86"/>
    <w:rsid w:val="002B0186"/>
    <w:rsid w:val="00811764"/>
    <w:rsid w:val="00CD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607B8A-4396-4299-9B34-A004E995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B01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B01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inline-flex">
    <w:name w:val="inline-flex"/>
    <w:basedOn w:val="a0"/>
    <w:rsid w:val="002B0186"/>
  </w:style>
  <w:style w:type="paragraph" w:customStyle="1" w:styleId="mb-2">
    <w:name w:val="mb-2"/>
    <w:basedOn w:val="a"/>
    <w:rsid w:val="00CD1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ading-relaxed">
    <w:name w:val="leading-relaxed"/>
    <w:basedOn w:val="a"/>
    <w:rsid w:val="00CD1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1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6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606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3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26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54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8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50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40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01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1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2026-09-30T14:48:00Z</dcterms:created>
  <dcterms:modified xsi:type="dcterms:W3CDTF">2026-09-30T14:56:00Z</dcterms:modified>
</cp:coreProperties>
</file>