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F766E"/>
          </w:tcPr>
          <w:p>
            <w:pPr>
              <w:spacing w:before="40" w:after="40"/>
            </w:pPr>
            <w:r/>
          </w:p>
        </w:tc>
      </w:tr>
    </w:tbl>
    <w:p/>
    <w:p/>
    <w:p>
      <w:pPr>
        <w:spacing w:after="120"/>
      </w:pPr>
      <w:r>
        <w:rPr>
          <w:b/>
          <w:color w:val="0F766E"/>
          <w:sz w:val="24"/>
        </w:rPr>
        <w:t>СППВР · Система поддержки врачебных решений</w:t>
      </w:r>
    </w:p>
    <w:p>
      <w:pPr>
        <w:spacing w:line="228" w:lineRule="auto" w:after="120"/>
      </w:pPr>
      <w:r>
        <w:rPr>
          <w:b/>
          <w:color w:val="0F172A"/>
          <w:sz w:val="68"/>
        </w:rPr>
        <w:t>Техническая документация</w:t>
      </w:r>
    </w:p>
    <w:p>
      <w:pPr>
        <w:spacing w:after="520"/>
      </w:pPr>
      <w:r>
        <w:rPr>
          <w:color w:val="475569"/>
          <w:sz w:val="28"/>
        </w:rPr>
        <w:t>Архитектура · модель данных · API · ИИ-конвейер · безопасность · эксплуатация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b/>
                <w:color w:val="115E59"/>
                <w:sz w:val="18"/>
              </w:rPr>
              <w:t>Версия документа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>
              <w:rPr>
                <w:color w:val="0F172A"/>
                <w:sz w:val="19"/>
              </w:rPr>
              <w:t>1.0 (ревизия кода v5.2)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b/>
                <w:color w:val="115E59"/>
                <w:sz w:val="18"/>
              </w:rPr>
              <w:t>Дата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>
              <w:rPr>
                <w:color w:val="0F172A"/>
                <w:sz w:val="19"/>
              </w:rPr>
              <w:t>25 октября 2026 г.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b/>
                <w:color w:val="115E59"/>
                <w:sz w:val="18"/>
              </w:rPr>
              <w:t>Статус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>
              <w:rPr>
                <w:color w:val="0F172A"/>
                <w:sz w:val="19"/>
              </w:rPr>
              <w:t>Рабочая редакция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b/>
                <w:color w:val="115E59"/>
                <w:sz w:val="18"/>
              </w:rPr>
              <w:t>Объект описания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>
              <w:rPr>
                <w:color w:val="0F172A"/>
                <w:sz w:val="19"/>
              </w:rPr>
              <w:t>Веб-приложение Next.js 16 + SQLite + локальная языковая модель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b/>
                <w:color w:val="115E59"/>
                <w:sz w:val="18"/>
              </w:rPr>
              <w:t>Состав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>
              <w:rPr>
                <w:color w:val="0F172A"/>
                <w:sz w:val="19"/>
              </w:rPr>
              <w:t>13 разделов, 4 приложения, 121 endpoint, 31 модель данных</w:t>
            </w:r>
          </w:p>
        </w:tc>
      </w:tr>
    </w:tbl>
    <w:p/>
    <w:p/>
    <w:p/>
    <w:p/>
    <w:p/>
    <w:p/>
    <w:p/>
    <w:p/>
    <w:p>
      <w:r>
        <w:rPr>
          <w:i/>
          <w:color w:val="475569"/>
          <w:sz w:val="17"/>
        </w:rPr>
        <w:t>Документ подготовлен по фактическому состоянию кодовой базы и результатам проверок. Не содержит персональных данных. Внутренний документ организации.</w:t>
      </w:r>
    </w:p>
    <w:p>
      <w:r>
        <w:br w:type="page"/>
      </w:r>
    </w:p>
    <w:p>
      <w:pPr>
        <w:spacing w:after="200"/>
      </w:pPr>
      <w:r>
        <w:rPr>
          <w:b/>
          <w:color w:val="0F766E"/>
          <w:sz w:val="34"/>
        </w:rPr>
        <w:t>Содержание</w:t>
      </w:r>
    </w:p>
    <w:p>
      <w:pPr>
        <w:spacing w:after="40"/>
        <w:ind w:left="0"/>
      </w:pPr>
      <w:r>
        <w:rPr>
          <w:b/>
          <w:color w:val="0F172A"/>
          <w:sz w:val="20"/>
        </w:rPr>
        <w:t>1. Аннотация и область применения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1.1. Назначение документа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1.2. Область применения системы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1.3. Правовой и регуляторный контур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1.4. Границы ответственности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1.5. Статус документа</w:t>
      </w:r>
    </w:p>
    <w:p>
      <w:pPr>
        <w:spacing w:after="40"/>
        <w:ind w:left="0"/>
      </w:pPr>
      <w:r>
        <w:rPr>
          <w:b/>
          <w:color w:val="0F172A"/>
          <w:sz w:val="20"/>
        </w:rPr>
        <w:t>2. Термины и сокращения</w:t>
      </w:r>
    </w:p>
    <w:p>
      <w:pPr>
        <w:spacing w:after="40"/>
        <w:ind w:left="0"/>
      </w:pPr>
      <w:r>
        <w:rPr>
          <w:b/>
          <w:color w:val="0F172A"/>
          <w:sz w:val="20"/>
        </w:rPr>
        <w:t>3. Обзор системы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3.1. Ключевые функции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3.2. Роли и права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3.3. Пользовательские сценарии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3.4. Метрики кодовой базы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3.5. Что входит и что не входит в поставку</w:t>
      </w:r>
    </w:p>
    <w:p>
      <w:pPr>
        <w:spacing w:after="40"/>
        <w:ind w:left="0"/>
      </w:pPr>
      <w:r>
        <w:rPr>
          <w:b/>
          <w:color w:val="0F172A"/>
          <w:sz w:val="20"/>
        </w:rPr>
        <w:t>4. Архитектура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4.1. Логическая схема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4.2. Компоненты и их ответственность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4.3. Основные потоки данных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4.4. Режимы работы и деградация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4.5. Технологический стек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4.6. Требования к окружению</w:t>
      </w:r>
    </w:p>
    <w:p>
      <w:pPr>
        <w:spacing w:after="40"/>
        <w:ind w:left="0"/>
      </w:pPr>
      <w:r>
        <w:rPr>
          <w:b/>
          <w:color w:val="0F172A"/>
          <w:sz w:val="20"/>
        </w:rPr>
        <w:t>5. Структура репозитория</w:t>
      </w:r>
    </w:p>
    <w:p>
      <w:pPr>
        <w:spacing w:after="40"/>
        <w:ind w:left="0"/>
      </w:pPr>
      <w:r>
        <w:rPr>
          <w:b/>
          <w:color w:val="0F172A"/>
          <w:sz w:val="20"/>
        </w:rPr>
        <w:t>6. Модель данных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6.1. Общие сведения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6.2. Домены моделей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6.3. Ключевые сущности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6.4. Структура structured (v5.2)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6.5. Версионирование анализа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6.6. Справочники и демонстрационные данные</w:t>
      </w:r>
    </w:p>
    <w:p>
      <w:pPr>
        <w:spacing w:after="40"/>
        <w:ind w:left="0"/>
      </w:pPr>
      <w:r>
        <w:rPr>
          <w:b/>
          <w:color w:val="0F172A"/>
          <w:sz w:val="20"/>
        </w:rPr>
        <w:t>7. Программные интерфейсы (API)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7.1. Общие принципы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7.2. Аутентификация и инициализация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7.3. Кейсы, документы, анализ и отчёты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7.4. Электронная медицинская карта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7.5. Знания, ИИ и справочники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7.6. Администрирование и служебные маршруты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7.7. Формат ошибок и коды</w:t>
      </w:r>
    </w:p>
    <w:p>
      <w:pPr>
        <w:spacing w:after="40"/>
        <w:ind w:left="0"/>
      </w:pPr>
      <w:r>
        <w:rPr>
          <w:b/>
          <w:color w:val="0F172A"/>
          <w:sz w:val="20"/>
        </w:rPr>
        <w:t>8. ИИ-конвейер анализа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8.1. Общая схема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8.2. Шаг 0: согласие и доступ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8.3. Шаги 1–3: документы, генетика, изображения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8.4. Шаги 4–5: RAG по клиническим рекомендациям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8.5. Шаги 6–8: фармакогеномика, DDI, МКБ-10 и пути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8.6. Шаг 9: генерация заключения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8.7. Шаг 10: самопроверка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8.8. Структуризация заключения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8.9. Пост-обработка v5.2 (детерминированная)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8.10. Отказоустойчивость и ручной режим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8.11. Экран результатов и рабочий процесс врача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8.12. Ограничения ИИ-конвейера</w:t>
      </w:r>
    </w:p>
    <w:p>
      <w:pPr>
        <w:spacing w:after="40"/>
        <w:ind w:left="0"/>
      </w:pPr>
      <w:r>
        <w:rPr>
          <w:b/>
          <w:color w:val="0F172A"/>
          <w:sz w:val="20"/>
        </w:rPr>
        <w:t>9. Клинические знания и справочники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9.1. Клинические рекомендации Минздрава РФ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9.2. Международные источники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9.3. Лекарственные взаимодействия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9.4. МКБ-10, клинические пути, шаблоны, калькуляторы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9.5. Санитизация внешних запросов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9.6. Отказоустойчивость сети</w:t>
      </w:r>
    </w:p>
    <w:p>
      <w:pPr>
        <w:spacing w:after="40"/>
        <w:ind w:left="0"/>
      </w:pPr>
      <w:r>
        <w:rPr>
          <w:b/>
          <w:color w:val="0F172A"/>
          <w:sz w:val="20"/>
        </w:rPr>
        <w:t>10. Безопасность и соответствие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10.1. Модель угроз и меры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10.2. Аутентификация и сессии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10.3. Пароли и блокировки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10.4. Авторизация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10.5. E2EE карт пациентов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10.6. Шифрование файлов и хранилища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10.7. Де-идентификация перед ИИ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10.8. Аудит (WORM)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10.9. Согласия пациента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10.10. Заголовки, лимиты, SSRF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10.11. Секреты и переменные окружения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10.12. Остаточные риски</w:t>
      </w:r>
    </w:p>
    <w:p>
      <w:pPr>
        <w:spacing w:after="40"/>
        <w:ind w:left="0"/>
      </w:pPr>
      <w:r>
        <w:rPr>
          <w:b/>
          <w:color w:val="0F172A"/>
          <w:sz w:val="20"/>
        </w:rPr>
        <w:t>11. Развёртывание и эксплуатация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11.1. Установка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11.2. Переменные окружения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11.3. Сборка и запуск в production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11.4. База данных и миграции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11.5. Первичная инициализация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11.6. Резервное копирование и восстановление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11.7. Ротация ключа шифрования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11.8. Мониторинг и диагностика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11.9. Обновление версии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11.10. Типовые проблемы</w:t>
      </w:r>
    </w:p>
    <w:p>
      <w:pPr>
        <w:spacing w:after="40"/>
        <w:ind w:left="0"/>
      </w:pPr>
      <w:r>
        <w:rPr>
          <w:b/>
          <w:color w:val="0F172A"/>
          <w:sz w:val="20"/>
        </w:rPr>
        <w:t>12. Тестирование и качество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12.1. Инструменты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12.2. Текущее состояние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12.3. Покрытие тестами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12.4. Рекомендации по расширению</w:t>
      </w:r>
    </w:p>
    <w:p>
      <w:pPr>
        <w:spacing w:after="40"/>
        <w:ind w:left="0"/>
      </w:pPr>
      <w:r>
        <w:rPr>
          <w:b/>
          <w:color w:val="0F172A"/>
          <w:sz w:val="20"/>
        </w:rPr>
        <w:t>13. Ограничения и направления развития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13.1. Известные ограничения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13.2. Чек-лист перед промышленной эксплуатацией</w:t>
      </w:r>
    </w:p>
    <w:p>
      <w:pPr>
        <w:spacing w:after="40"/>
        <w:ind w:left="397"/>
      </w:pPr>
      <w:r>
        <w:rPr>
          <w:b w:val="0"/>
          <w:color w:val="475569"/>
          <w:sz w:val="19"/>
        </w:rPr>
        <w:t>13.3. Направления развития</w:t>
      </w:r>
    </w:p>
    <w:p>
      <w:pPr>
        <w:spacing w:after="40"/>
        <w:ind w:left="0"/>
      </w:pPr>
      <w:r>
        <w:rPr>
          <w:b/>
          <w:color w:val="0F172A"/>
          <w:sz w:val="20"/>
        </w:rPr>
        <w:t>Приложение A. Полный перечень endpoint'ов</w:t>
      </w:r>
    </w:p>
    <w:p>
      <w:pPr>
        <w:spacing w:after="40"/>
        <w:ind w:left="0"/>
      </w:pPr>
      <w:r>
        <w:rPr>
          <w:b/>
          <w:color w:val="0F172A"/>
          <w:sz w:val="20"/>
        </w:rPr>
        <w:t>Приложение B. Сводка переменных окружения</w:t>
      </w:r>
    </w:p>
    <w:p>
      <w:pPr>
        <w:spacing w:after="40"/>
        <w:ind w:left="0"/>
      </w:pPr>
      <w:r>
        <w:rPr>
          <w:b/>
          <w:color w:val="0F172A"/>
          <w:sz w:val="20"/>
        </w:rPr>
        <w:t>Приложение C. Чек-лист приёмки</w:t>
      </w:r>
    </w:p>
    <w:p>
      <w:pPr>
        <w:spacing w:after="40"/>
        <w:ind w:left="0"/>
      </w:pPr>
      <w:r>
        <w:rPr>
          <w:b/>
          <w:color w:val="0F172A"/>
          <w:sz w:val="20"/>
        </w:rPr>
        <w:t>Приложение D. История документа</w:t>
      </w:r>
    </w:p>
    <w:p>
      <w:r>
        <w:br w:type="page"/>
      </w:r>
    </w:p>
    <w:p>
      <w:pPr>
        <w:pStyle w:val="Heading1"/>
        <w:pageBreakBefore w:val="0"/>
        <w:pBdr>
          <w:bottom w:val="single" w:sz="8" w:space="6" w:color="14B8A6"/>
        </w:pBdr>
      </w:pPr>
      <w:r>
        <w:t>1. Аннотация и область применения</w:t>
      </w:r>
    </w:p>
    <w:p>
      <w:pPr>
        <w:spacing w:after="160"/>
      </w:pPr>
      <w:r>
        <w:rPr>
          <w:color w:val="475569"/>
          <w:sz w:val="23"/>
        </w:rPr>
        <w:t>Настоящий документ описывает устройство, модель данных, программные интерфейсы, ИИ-конвейер, меры безопасности и порядок эксплуатации системы поддержки врачебных решений СППВР. Документ подготовлен по фактическому состоянию кодовой базы (версия пакета 0.2.1, внутренняя ревизия v5.2) и предназначен для инженеров, внедренцев и специалистов по информационной безопасности.</w:t>
      </w:r>
    </w:p>
    <w:p>
      <w:pPr>
        <w:pStyle w:val="Heading2"/>
      </w:pPr>
      <w:r>
        <w:t>1.1. Назначение документа</w:t>
      </w:r>
    </w:p>
    <w:p>
      <w:r>
        <w:t>Документ решает четыре задачи: (1) дать целостное описание архитектуры и потоков данных; (2) зафиксировать контракты API и структуру хранения, чтобы изменения можно было делать без обратной разработки; (3) описать клиническую логику ИИ-конвейера и механизмы контроля качества рекомендаций; (4) определить порядок развёртывания, сопровождения и известные ограничения системы.</w:t>
      </w:r>
    </w:p>
    <w:p>
      <w:r>
        <w:t>Документ не является руководством пользователя: работа врача в интерфейсе описана на уровне сценариев (раздел 3.3) и устройства экрана результатов (раздел 8.11).</w:t>
      </w:r>
    </w:p>
    <w:p>
      <w:pPr>
        <w:pStyle w:val="Heading2"/>
      </w:pPr>
      <w:r>
        <w:t>1.2. Область применения системы</w:t>
      </w:r>
    </w:p>
    <w:p>
      <w:r>
        <w:t>СППВР — локальная (on-premise) система поддержки принятия врачебных решений. Она объединяет электронную медицинскую карту (ЭМК), разбор клинических случаев с помощью локальной языковой модели, поиск по клиническим рекомендациям Минздрава РФ и международным источникам, проверку лекарственных взаимодействий, клинические калькуляторы и формирование подписываемых отчётов.</w:t>
      </w:r>
    </w:p>
    <w:p>
      <w:r>
        <w:t>Система рассчитана на работу в контуре медицинской организации: база данных, файловое хранилище и языковая модель размещаются на собственных мощностях, данные пациентов не передаются облачным провайдерам. Наружу (при включённом веб-RAG) уходят только санитизированные клинические термины — без идентификаторов пациента.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04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Контур</w:t>
            </w:r>
          </w:p>
        </w:tc>
        <w:tc>
          <w:tcPr>
            <w:tcW w:type="dxa" w:w="7370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Что включает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Клиническая работа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Кейсы (выписки, генетические отчёты, изображения), ЭМК пациента, обследования, назначения, витальные показатели, лаборатория, дневник визитов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Поддержка решений</w:t>
            </w:r>
          </w:p>
        </w:tc>
        <w:tc>
          <w:tcPr>
            <w:tcW w:type="dxa" w:w="737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Дифференциальный диагноз с обоснованием, план дообследования с подсказками, опции терапии после подтверждения диагноза, план мониторинга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Знания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Клинические рекомендации Минздрава РФ (прямой разбор репозитория), PubMed/ВОЗ/NICE/Cochrane/CDC/ESC/EMA, локальные справочники МКБ-10, DDI, клинические пути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Документооборот</w:t>
            </w:r>
          </w:p>
        </w:tc>
        <w:tc>
          <w:tcPr>
            <w:tcW w:type="dxa" w:w="737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Отчёты по кейсу, PDF с водяным знаком, электронные подписи, шаблоны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Контроль и аудит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WORM-журнал действий с хеш-цепочкой, проверка целостности, экспорт, системные логи, согласия пациента</w:t>
            </w:r>
          </w:p>
        </w:tc>
      </w:tr>
    </w:tbl>
    <w:p>
      <w:pPr>
        <w:spacing w:after="40"/>
      </w:pPr>
    </w:p>
    <w:p>
      <w:pPr>
        <w:pStyle w:val="Heading2"/>
      </w:pPr>
      <w:r>
        <w:t>1.3. Правовой и регуляторный контур</w:t>
      </w:r>
    </w:p>
    <w:p>
      <w:r>
        <w:t>В коде и архитектуре реализованы технические меры, ориентированные на следующие требования: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</w:r>
      <w:r>
        <w:rPr>
          <w:b/>
          <w:sz w:val="21"/>
        </w:rPr>
        <w:t>ФЗ-152 «О персональных данных»</w:t>
      </w:r>
      <w:r>
        <w:rPr>
          <w:b w:val="0"/>
          <w:sz w:val="21"/>
        </w:rPr>
        <w:t xml:space="preserve"> — минимизация, обезличивание перед обработкой ИИ, шифрование при хранении и передаче, разграничение доступа, журналирование операций.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</w:r>
      <w:r>
        <w:rPr>
          <w:b/>
          <w:sz w:val="21"/>
        </w:rPr>
        <w:t>ФЗ-323 «Об основах охраны здоровья граждан» (ст. 13)</w:t>
      </w:r>
      <w:r>
        <w:rPr>
          <w:b w:val="0"/>
          <w:sz w:val="21"/>
        </w:rPr>
        <w:t xml:space="preserve"> — врачебная тайна: данные пациента не покидают контур, внешние запросы содержат только клинические термины.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</w:r>
      <w:r>
        <w:rPr>
          <w:b/>
          <w:sz w:val="21"/>
        </w:rPr>
        <w:t>HIPAA (ориентир для зарубежных инсталляций)</w:t>
      </w:r>
      <w:r>
        <w:rPr>
          <w:b w:val="0"/>
          <w:sz w:val="21"/>
        </w:rPr>
        <w:t xml:space="preserve"> — контроли доступа, целостность, аудит-контроли, шифрование ключами, не хранящимися рядом с данными.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tcBorders>
              <w:top w:val="single" w:sz="4" w:color="B45309"/>
              <w:bottom w:val="single" w:sz="4" w:color="B45309"/>
              <w:right w:val="single" w:sz="4" w:color="B45309"/>
              <w:left w:val="single" w:sz="18" w:color="B45309"/>
            </w:tcBorders>
            <w:shd w:val="clear" w:color="auto" w:fill="FFF7E6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Важно.</w:t>
            </w:r>
            <w:r>
              <w:rPr>
                <w:b w:val="0"/>
                <w:color w:val="0F172A"/>
                <w:sz w:val="19"/>
              </w:rPr>
              <w:t xml:space="preserve"> Приведённые соответствия — технические меры, а не юридическое заключение. Перед промышленной эксплуатацией требуется отдельная оценка соответствия, модель угроз для конкретного ЛПУ и, при необходимости, регистрация как медицинского изделия.</w:t>
            </w:r>
          </w:p>
        </w:tc>
      </w:tr>
    </w:tbl>
    <w:p>
      <w:pPr>
        <w:spacing w:after="40"/>
      </w:pPr>
    </w:p>
    <w:p>
      <w:pPr>
        <w:pStyle w:val="Heading2"/>
      </w:pPr>
      <w:r>
        <w:t>1.4. Границы ответственности</w:t>
      </w:r>
    </w:p>
    <w:p>
      <w:r>
        <w:t>СППВР — система поддержки, а не автономный диагностический модуль. Любое заключение модели носит рекомендательный характер и подлежит проверке врачом. В продукт встроены технические предохранители, снижающие риск вредной рекомендации: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терапия заблокирована до подтверждения диагноза врачом (жёсткий workflow-gate);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формальная проверка набора рекомендаций (26 детерминированных правил) с баллом и списком замечаний;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автоматическая нормализация структуры: дубли исследований, ранги, вероятности, привязка терапии к гипотезе;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проверка совпадения препарата с аллергией из карты пациента независимо от модели;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самопроверка ИИ (verification pass) и отчёт исправлений.</w:t>
      </w:r>
    </w:p>
    <w:p>
      <w:r>
        <w:t>Ответственность за клиническое решение остаётся за врачом; система обязана показывать основания рекомендации (аргументы, источники, референсы) и не скрывать автоматические правки.</w:t>
      </w:r>
    </w:p>
    <w:p>
      <w:pPr>
        <w:pStyle w:val="Heading2"/>
      </w:pPr>
      <w:r>
        <w:t>1.5. Статус документа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7030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Версия документа</w:t>
            </w:r>
          </w:p>
        </w:tc>
        <w:tc>
          <w:tcPr>
            <w:tcW w:type="dxa" w:w="703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1.0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Версия пакета</w:t>
            </w:r>
          </w:p>
        </w:tc>
        <w:tc>
          <w:tcPr>
            <w:tcW w:type="dxa" w:w="703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0.2.1 (package.json), внутренняя ревизия v5.2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Дата</w:t>
            </w:r>
          </w:p>
        </w:tc>
        <w:tc>
          <w:tcPr>
            <w:tcW w:type="dxa" w:w="703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25 октября 2026 г.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Источник фактов</w:t>
            </w:r>
          </w:p>
        </w:tc>
        <w:tc>
          <w:tcPr>
            <w:tcW w:type="dxa" w:w="703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Кодовая база проекта: 231 уникальный файл TypeScript/TSX/Prisma/SQL, ≈69 000 строк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Проверки на дату</w:t>
            </w:r>
          </w:p>
        </w:tc>
        <w:tc>
          <w:tcPr>
            <w:tcW w:type="dxa" w:w="703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tsc --noEmit — без ошибок; vitest — 63 теста; next build — успешно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Ограничение</w:t>
            </w:r>
          </w:p>
        </w:tc>
        <w:tc>
          <w:tcPr>
            <w:tcW w:type="dxa" w:w="703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Документ описывает программное обеспечение, а не клиническую валидность модели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6" w:color="14B8A6"/>
        </w:pBdr>
      </w:pPr>
      <w:r>
        <w:t>2. Термины и сокращения</w:t>
      </w:r>
    </w:p>
    <w:p>
      <w:r>
        <w:t>Термины приведены в том значении, в котором они используются в коде и интерфейсе.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Термин</w:t>
            </w:r>
          </w:p>
        </w:tc>
        <w:tc>
          <w:tcPr>
            <w:tcW w:type="dxa" w:w="7143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Определение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СППВР / CDSS</w:t>
            </w:r>
          </w:p>
        </w:tc>
        <w:tc>
          <w:tcPr>
            <w:tcW w:type="dxa" w:w="714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Система поддержки принятия врачебных решений (Clinical Decision Support System)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ЭМК</w:t>
            </w:r>
          </w:p>
        </w:tc>
        <w:tc>
          <w:tcPr>
            <w:tcW w:type="dxa" w:w="71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Электронная медицинская карта пациента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Кейс</w:t>
            </w:r>
          </w:p>
        </w:tc>
        <w:tc>
          <w:tcPr>
            <w:tcW w:type="dxa" w:w="714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Клинический случай: набор документов (выписки, генетика, снимки) и результат ИИ-разбора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КР</w:t>
            </w:r>
          </w:p>
        </w:tc>
        <w:tc>
          <w:tcPr>
            <w:tcW w:type="dxa" w:w="71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Клинические рекомендации (в системе — преимущественно Минздрава РФ)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МКБ-10</w:t>
            </w:r>
          </w:p>
        </w:tc>
        <w:tc>
          <w:tcPr>
            <w:tcW w:type="dxa" w:w="714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Международная классификация болезней 10-го пересмотра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МНН</w:t>
            </w:r>
          </w:p>
        </w:tc>
        <w:tc>
          <w:tcPr>
            <w:tcW w:type="dxa" w:w="71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Международное непатентованное наименование лекарственного средства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DDI</w:t>
            </w:r>
          </w:p>
        </w:tc>
        <w:tc>
          <w:tcPr>
            <w:tcW w:type="dxa" w:w="714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Drug–Drug Interaction, лекарственное взаимодействие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RAG</w:t>
            </w:r>
          </w:p>
        </w:tc>
        <w:tc>
          <w:tcPr>
            <w:tcW w:type="dxa" w:w="71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Retrieval-Augmented Generation: поиск фрагментов знаний и подача их модели в контекст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LLM / VLM</w:t>
            </w:r>
          </w:p>
        </w:tc>
        <w:tc>
          <w:tcPr>
            <w:tcW w:type="dxa" w:w="714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Большая языковая модель / визуально-языковая модель (анализ изображений)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NER</w:t>
            </w:r>
          </w:p>
        </w:tc>
        <w:tc>
          <w:tcPr>
            <w:tcW w:type="dxa" w:w="71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Распознавание именованных сущностей; в системе — локальная де-идентификация текста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PHI / ПДн</w:t>
            </w:r>
          </w:p>
        </w:tc>
        <w:tc>
          <w:tcPr>
            <w:tcW w:type="dxa" w:w="714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Защищаемая медицинская информация / персональные данные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E2EE</w:t>
            </w:r>
          </w:p>
        </w:tc>
        <w:tc>
          <w:tcPr>
            <w:tcW w:type="dxa" w:w="71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End-to-End Encryption: шифрование на стороне клиента, сервер не имеет ключей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DEK / KEK / PDEK</w:t>
            </w:r>
          </w:p>
        </w:tc>
        <w:tc>
          <w:tcPr>
            <w:tcW w:type="dxa" w:w="714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Ключ данных / ключ шифрования ключа / пер-пациентный ключ данных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WORM</w:t>
            </w:r>
          </w:p>
        </w:tc>
        <w:tc>
          <w:tcPr>
            <w:tcW w:type="dxa" w:w="71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Write Once Read Many: журнал, доступный только для добавления записей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JWT</w:t>
            </w:r>
          </w:p>
        </w:tc>
        <w:tc>
          <w:tcPr>
            <w:tcW w:type="dxa" w:w="714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JSON Web Token — токен сессии (HS256, срок 2 часа)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Standalone</w:t>
            </w:r>
          </w:p>
        </w:tc>
        <w:tc>
          <w:tcPr>
            <w:tcW w:type="dxa" w:w="71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Режим сборки Next.js с автономным сервером (.next/standalone)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Verification pass</w:t>
            </w:r>
          </w:p>
        </w:tc>
        <w:tc>
          <w:tcPr>
            <w:tcW w:type="dxa" w:w="714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Второй проход модели: аудит черновика и исправление ошибок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Workflow-gate</w:t>
            </w:r>
          </w:p>
        </w:tc>
        <w:tc>
          <w:tcPr>
            <w:tcW w:type="dxa" w:w="71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Запрет перехода к следующему шагу без подтверждения предыдущего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6" w:color="14B8A6"/>
        </w:pBdr>
      </w:pPr>
      <w:r>
        <w:t>3. Обзор системы</w:t>
      </w:r>
    </w:p>
    <w:p>
      <w:pPr>
        <w:pStyle w:val="Heading2"/>
      </w:pPr>
      <w:r>
        <w:t>3.1. Ключевые функции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Домен</w:t>
            </w:r>
          </w:p>
        </w:tc>
        <w:tc>
          <w:tcPr>
            <w:tcW w:type="dxa" w:w="5216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Возможности</w:t>
            </w:r>
          </w:p>
        </w:tc>
        <w:tc>
          <w:tcPr>
            <w:tcW w:type="dxa" w:w="260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Реализация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Кейсы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Создание кейса, загрузка PDF/DOCX/TXT/изображений/VCF, де-идентификация, версии анализа, публикация отчёта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src/app/api/cases/*, src/lib/file-parsers.ts, storage.ts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ИИ-анализ</w:t>
            </w:r>
          </w:p>
        </w:tc>
        <w:tc>
          <w:tcPr>
            <w:tcW w:type="dxa" w:w="521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10-шаговый конвейер: NER, генетика, изображения, RAG, фармакогеномика, DDI, МКБ-10, пути, заключение, самопроверка</w:t>
            </w:r>
          </w:p>
        </w:tc>
        <w:tc>
          <w:tcPr>
            <w:tcW w:type="dxa" w:w="260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api/cases/[id]/analyze, src/lib/ai-service.ts, rag.ts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Дифференциальный диагноз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3–5 гипотез с вероятностями, аргументами «за/против», красными флагами, МКБ-10 и КР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structured.differential, экран «Гипотезы»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План дообследования</w:t>
            </w:r>
          </w:p>
        </w:tc>
        <w:tc>
          <w:tcPr>
            <w:tcW w:type="dxa" w:w="521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Приоритет, срок, подготовка, референсы, критерии подтверждения/исключения, руководство по интерпретации</w:t>
            </w:r>
          </w:p>
        </w:tc>
        <w:tc>
          <w:tcPr>
            <w:tcW w:type="dxa" w:w="260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structured.workupPlan, WorkupPlanTracker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Трекер назначений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Статусы «в плане → назначено → выполнено → результат», ввод результата со сверкой с нормой, аудит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structured.workupTracker, api/.../analysis/control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Терапия</w:t>
            </w:r>
          </w:p>
        </w:tc>
        <w:tc>
          <w:tcPr>
            <w:tcW w:type="dxa" w:w="521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Опции, привязанные к гипотезам; доза, путь, кратность, длительность, доказательность, источник, предупреждения</w:t>
            </w:r>
          </w:p>
        </w:tc>
        <w:tc>
          <w:tcPr>
            <w:tcW w:type="dxa" w:w="260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structured.therapyOptions, TherapyCard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Контроль качества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26 детерминированных правил, балл 0–100, автоматические исправления структуры, отчёт самопроверки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src/lib/clinical-audit.ts, clinical-normalize.ts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Знания</w:t>
            </w:r>
          </w:p>
        </w:tc>
        <w:tc>
          <w:tcPr>
            <w:tcW w:type="dxa" w:w="521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Прямой разбор репозитория КР Минздрава, международные источники, локальные справочники</w:t>
            </w:r>
          </w:p>
        </w:tc>
        <w:tc>
          <w:tcPr>
            <w:tcW w:type="dxa" w:w="260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minzdrav-rag.ts, international-rag.ts, rag.ts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ЭМК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Пациенты, визиты, витальные показатели, назначения, лаборатория, проблемы, прививки, планы ведения, обследования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api/patients/*, views/medical-record.tsx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DDI</w:t>
            </w:r>
          </w:p>
        </w:tc>
        <w:tc>
          <w:tcPr>
            <w:tcW w:type="dxa" w:w="521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Локальная таблица + потоковый онлайн-поиск (РЛС, Видаль, ГРЛС), кэш, обоснованный override</w:t>
            </w:r>
          </w:p>
        </w:tc>
        <w:tc>
          <w:tcPr>
            <w:tcW w:type="dxa" w:w="260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ddi-online.ts, api/ddi/*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Безопасность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JWT, роли, E2EE карт, шифрование файлов, WORM-аудит, согласия, rate limit, CSP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lib/auth.ts, lib/e2ee/*, lib/audit.ts, proxy.ts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Отчётность</w:t>
            </w:r>
          </w:p>
        </w:tc>
        <w:tc>
          <w:tcPr>
            <w:tcW w:type="dxa" w:w="521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PDF с кириллицей и водяным знаком, электронные подписи, шаблоны, экспорт</w:t>
            </w:r>
          </w:p>
        </w:tc>
        <w:tc>
          <w:tcPr>
            <w:tcW w:type="dxa" w:w="260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lib/pdf-generator.ts, api/reports/*</w:t>
            </w:r>
          </w:p>
        </w:tc>
      </w:tr>
    </w:tbl>
    <w:p>
      <w:pPr>
        <w:spacing w:after="40"/>
      </w:pPr>
    </w:p>
    <w:p>
      <w:pPr>
        <w:pStyle w:val="Heading2"/>
      </w:pPr>
      <w:r>
        <w:t>3.2. Роли и права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Роль / механизм</w:t>
            </w:r>
          </w:p>
        </w:tc>
        <w:tc>
          <w:tcPr>
            <w:tcW w:type="dxa" w:w="6576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Права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Врач (doctor.role = doctor)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Свои кейсы и карты пациентов; чтение справочников; запуск анализа; отчёты; обмен кейсами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Администратор (role = admin)</w:t>
            </w:r>
          </w:p>
        </w:tc>
        <w:tc>
          <w:tcPr>
            <w:tcW w:type="dxa" w:w="657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Все кейсы; управление врачами; аудит и его экспорт; логи; резервное копирование; шифрование; сиды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Совместный доступ к кейсу (CaseShare)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accessLevel = read или comment; доступ проверяется в requireCaseAccess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Доступ к карте пациента (PatientAccessGrant)</w:t>
            </w:r>
          </w:p>
        </w:tc>
        <w:tc>
          <w:tcPr>
            <w:tcW w:type="dxa" w:w="657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Выдаётся владельцем карты; PDEK пере-заворачивается под ключ получателя (X25519), срок и отзыв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Публичные маршруты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Только /api/auth (кроме /api/auth/key), /api/health, /api/network/status и часть GET-справочников — см. src/proxy.ts</w:t>
            </w:r>
          </w:p>
        </w:tc>
      </w:tr>
    </w:tbl>
    <w:p>
      <w:pPr>
        <w:spacing w:after="40"/>
      </w:pPr>
    </w:p>
    <w:p>
      <w:pPr>
        <w:pStyle w:val="Heading2"/>
      </w:pPr>
      <w:r>
        <w:t>3.3. Пользовательские сценарии</w:t>
      </w:r>
    </w:p>
    <w:p>
      <w:pPr>
        <w:pStyle w:val="Heading3"/>
      </w:pPr>
      <w:r>
        <w:t>3.3.1. Первичная инициализация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1. </w:t>
      </w:r>
      <w:r>
        <w:rPr>
          <w:b w:val="0"/>
          <w:sz w:val="21"/>
        </w:rPr>
        <w:t>Оператор открывает приложение и нажимает «Инициализировать систему» (или вызывает POST /api/auth/init).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2. </w:t>
      </w:r>
      <w:r>
        <w:rPr>
          <w:b w:val="0"/>
          <w:sz w:val="21"/>
        </w:rPr>
        <w:t>Сервер создаёт администратора со случайным одноразовым паролем, который показывается один раз, и заполняет справочники.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3. </w:t>
      </w:r>
      <w:r>
        <w:rPr>
          <w:b w:val="0"/>
          <w:sz w:val="21"/>
        </w:rPr>
        <w:t>При первом входе система требует сменить пароль.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4. </w:t>
      </w:r>
      <w:r>
        <w:rPr>
          <w:b w:val="0"/>
          <w:sz w:val="21"/>
        </w:rPr>
        <w:t>Администратор создаёт врачей или включает открытую регистрацию (REGISTRATION_OPEN=true) на время.</w:t>
      </w:r>
    </w:p>
    <w:p>
      <w:pPr>
        <w:pStyle w:val="Heading3"/>
      </w:pPr>
      <w:r>
        <w:t>3.3.2. Разбор клинического случая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1. </w:t>
      </w:r>
      <w:r>
        <w:rPr>
          <w:b w:val="0"/>
          <w:sz w:val="21"/>
        </w:rPr>
        <w:t>Врач создаёт кейс (код, год рождения, пол, предварительный диагноз) и загружает документы.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2. </w:t>
      </w:r>
      <w:r>
        <w:rPr>
          <w:b w:val="0"/>
          <w:sz w:val="21"/>
        </w:rPr>
        <w:t>Загруженные файлы сохраняются в private-storage в зашифрованном виде; текст проходит де-идентификацию.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3. </w:t>
      </w:r>
      <w:r>
        <w:rPr>
          <w:b w:val="0"/>
          <w:sz w:val="21"/>
        </w:rPr>
        <w:t>Фиксируется согласие пациента на ИИ-анализ (без него конвейер отказывает с кодом CONSENT_MISSING).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4. </w:t>
      </w:r>
      <w:r>
        <w:rPr>
          <w:b w:val="0"/>
          <w:sz w:val="21"/>
        </w:rPr>
        <w:t>Запускается анализ; выполняются шаги 1–10 (раздел 8), результат сохраняется с новой версией.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5. </w:t>
      </w:r>
      <w:r>
        <w:rPr>
          <w:b w:val="0"/>
          <w:sz w:val="21"/>
        </w:rPr>
        <w:t>Врач открывает экран результатов: сводка, гипотезы, план обследования, терапия, источники, проверка.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6. </w:t>
      </w:r>
      <w:r>
        <w:rPr>
          <w:b w:val="0"/>
          <w:sz w:val="21"/>
        </w:rPr>
        <w:t>По мере выполнения исследований врач ведёт трекер: статусы, результаты, комментарии.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7. </w:t>
      </w:r>
      <w:r>
        <w:rPr>
          <w:b w:val="0"/>
          <w:sz w:val="21"/>
        </w:rPr>
        <w:t>После получения подтверждающих данных врач подтверждает гипотезу — терапия разблокируется, действие попадает в аудит.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8. </w:t>
      </w:r>
      <w:r>
        <w:rPr>
          <w:b w:val="0"/>
          <w:sz w:val="21"/>
        </w:rPr>
        <w:t>Формируется отчёт, подписывается и выгружается в PDF.</w:t>
      </w:r>
    </w:p>
    <w:p>
      <w:pPr>
        <w:pStyle w:val="Heading3"/>
      </w:pPr>
      <w:r>
        <w:t>3.3.3. Работа с ЭМК</w:t>
      </w:r>
    </w:p>
    <w:p>
      <w:r>
        <w:t>В разделе «Карта пациента» врач ведёт визиты, витальные показатели, назначения, лабораторию, проблемы, прививки и планы ведения; система рассчитывает композитный индекс здоровья, показывает сводку по взаимодействиям и поддерживает шифрование карты на стороне браузера.</w:t>
      </w:r>
    </w:p>
    <w:p>
      <w:pPr>
        <w:pStyle w:val="Heading2"/>
      </w:pPr>
      <w:r>
        <w:t>3.4. Метрики кодовой базы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04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Область</w:t>
            </w:r>
          </w:p>
        </w:tc>
        <w:tc>
          <w:tcPr>
            <w:tcW w:type="dxa" w:w="1247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Файлов</w:t>
            </w:r>
          </w:p>
        </w:tc>
        <w:tc>
          <w:tcPr>
            <w:tcW w:type="dxa" w:w="1474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Строк</w:t>
            </w:r>
          </w:p>
        </w:tc>
        <w:tc>
          <w:tcPr>
            <w:tcW w:type="dxa" w:w="4649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Комментарий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src/app/api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72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≈14 000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121 endpoint в 72 route-файлах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src/components</w:t>
            </w:r>
          </w:p>
        </w:tc>
        <w:tc>
          <w:tcPr>
            <w:tcW w:type="dxa" w:w="124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88</w:t>
            </w:r>
          </w:p>
        </w:tc>
        <w:tc>
          <w:tcPr>
            <w:tcW w:type="dxa" w:w="147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≈31 100</w:t>
            </w:r>
          </w:p>
        </w:tc>
        <w:tc>
          <w:tcPr>
            <w:tcW w:type="dxa" w:w="464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экраны, панели, библиотека UI (shadcn/Radix)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src/lib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64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≈21 500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доменная логика: ИИ, RAG, DDI, крипто, аудит, PDF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src/app (без api)</w:t>
            </w:r>
          </w:p>
        </w:tc>
        <w:tc>
          <w:tcPr>
            <w:tcW w:type="dxa" w:w="124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≈450</w:t>
            </w:r>
          </w:p>
        </w:tc>
        <w:tc>
          <w:tcPr>
            <w:tcW w:type="dxa" w:w="464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layout, page, globals.css (маршрутизация)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prisma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≈1 600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31 модель + миграция init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scripts</w:t>
            </w:r>
          </w:p>
        </w:tc>
        <w:tc>
          <w:tcPr>
            <w:tcW w:type="dxa" w:w="124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≈330</w:t>
            </w:r>
          </w:p>
        </w:tc>
        <w:tc>
          <w:tcPr>
            <w:tcW w:type="dxa" w:w="464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ensure-env.ts, rotate-encryption-key.ts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Итого (уникальные файлы)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231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≈69 000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подсчёт без двойного учёта API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tcBorders>
              <w:top w:val="single" w:sz="4" w:color="1D4ED8"/>
              <w:bottom w:val="single" w:sz="4" w:color="1D4ED8"/>
              <w:right w:val="single" w:sz="4" w:color="1D4ED8"/>
              <w:left w:val="single" w:sz="18" w:color="1D4ED8"/>
            </w:tcBorders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9"/>
              </w:rPr>
              <w:t>Цифры получены подсчётом файлов и строк в репозитории на дату документа. Они приведены как ориентир масштаба, а не как метрика качества.</w:t>
            </w:r>
          </w:p>
        </w:tc>
      </w:tr>
    </w:tbl>
    <w:p>
      <w:pPr>
        <w:spacing w:after="40"/>
      </w:pPr>
    </w:p>
    <w:p>
      <w:pPr>
        <w:pStyle w:val="Heading2"/>
      </w:pPr>
      <w:r>
        <w:t>3.5. Что входит и что не входит в поставку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649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Входит</w:t>
            </w:r>
          </w:p>
        </w:tc>
        <w:tc>
          <w:tcPr>
            <w:tcW w:type="dxa" w:w="4762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Не входит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Исходный код, Prisma-схема и миграция, скрипты, документация, тесты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Медицинская модель (GGUF) и сервер инференса — устанавливаются отдельно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Демонстрационные справочники: 98 кодов МКБ-10, 30 КР, 29 DDI, 8 клинических путей, демо-пациент и кейс</w:t>
            </w:r>
          </w:p>
        </w:tc>
        <w:tc>
          <w:tcPr>
            <w:tcW w:type="dxa" w:w="476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Лицензии на внешние источники и промышленные справочники ЛС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Локальная БД SQLite и файловое хранилище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Промышленная СУБД, кластеризация и балансировка (см. раздел 13)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Скрипты резервного копирования, ротации ключей, проверки аудита</w:t>
            </w:r>
          </w:p>
        </w:tc>
        <w:tc>
          <w:tcPr>
            <w:tcW w:type="dxa" w:w="476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Регламенты организации, обучение персонала, клиническая валидация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6" w:color="14B8A6"/>
        </w:pBdr>
      </w:pPr>
      <w:r>
        <w:t>4. Архитектура</w:t>
      </w:r>
    </w:p>
    <w:p>
      <w:pPr>
        <w:pStyle w:val="Heading2"/>
      </w:pPr>
      <w:r>
        <w:t>4.1. Логическая схема</w:t>
      </w:r>
    </w:p>
    <w:p>
      <w:r>
        <w:t>Система построена как монолитное приложение Next.js (App Router) с выделенным слоем доменных модулей и локальными зависимостями: СУБД SQLite, файловое хранилище и OpenAI-совместимый сервер инференса. Внешние источники подключаются только на сервере и только с санитизированными запросами.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0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Рис. 4.1. Логическая архитектура и границы контура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4762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Компоненты</w:t>
            </w:r>
          </w:p>
        </w:tc>
        <w:tc>
          <w:tcPr>
            <w:tcW w:type="dxa" w:w="317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Ответственность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Клиент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React 19, Next.js App Router, TanStack Query, Zustand, shadcn/Radix, Recharts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Экраны, формы, локальные оптимистичные обновления, E2EE-криптография в браузере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Периметр</w:t>
            </w:r>
          </w:p>
        </w:tc>
        <w:tc>
          <w:tcPr>
            <w:tcW w:type="dxa" w:w="476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src/proxy.ts (edge), Caddy</w:t>
            </w:r>
          </w:p>
        </w:tc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Проверка JWT, роли, rate limit, security headers, проксирование и заголовки IP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API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72 route-файла, 121 endpoint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Валидация zod, авторизация, вызов доменных сервисов, единый формат ошибок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Домен</w:t>
            </w:r>
          </w:p>
        </w:tc>
        <w:tc>
          <w:tcPr>
            <w:tcW w:type="dxa" w:w="476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src/lib: ai-service, lm-studio, rag, minzdrav-rag, international-rag, ddi-online, audit, auth, crypto, e2ee, pdf-generator, storage</w:t>
            </w:r>
          </w:p>
        </w:tc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Клиническая логика, работа с ИИ, поиск знаний, аудит, шифрование, отчёты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Данные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Prisma ORM, SQLite (db/custom.db), private-storage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31 модель, версии анализа, справочники, журналы, зашифрованные файлы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Внешние системы</w:t>
            </w:r>
          </w:p>
        </w:tc>
        <w:tc>
          <w:tcPr>
            <w:tcW w:type="dxa" w:w="476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cr.minzdrav.gov.ru / apicr, PubMed E-utilities, доверенные домены, РЛС/Видаль/ГРЛС</w:t>
            </w:r>
          </w:p>
        </w:tc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Источники знаний и DDI; доступ через per-host circuit breaker</w:t>
            </w:r>
          </w:p>
        </w:tc>
      </w:tr>
    </w:tbl>
    <w:p>
      <w:pPr>
        <w:spacing w:after="40"/>
      </w:pPr>
    </w:p>
    <w:p>
      <w:pPr>
        <w:pStyle w:val="Heading2"/>
      </w:pPr>
      <w:r>
        <w:t>4.2. Компоненты и их ответственность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969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Путь</w:t>
            </w:r>
          </w:p>
        </w:tc>
        <w:tc>
          <w:tcPr>
            <w:tcW w:type="dxa" w:w="5443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src/app/api</w:t>
            </w:r>
          </w:p>
        </w:tc>
        <w:tc>
          <w:tcPr>
            <w:tcW w:type="dxa" w:w="5443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HTTP-контракты: кейсы, пациенты, ИИ, знания, отчёты, администрирование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src/app/page.tsx, components/views/*</w:t>
            </w:r>
          </w:p>
        </w:tc>
        <w:tc>
          <w:tcPr>
            <w:tcW w:type="dxa" w:w="54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Одноэкранное приложение: дашборд, карта пациента, рабочее место кейса, калькуляторы, аналитика, аудит, база знаний, админ-панель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components/shared/analysis-panel.tsx</w:t>
            </w:r>
          </w:p>
        </w:tc>
        <w:tc>
          <w:tcPr>
            <w:tcW w:type="dxa" w:w="5443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Экран результатов анализа: KPI, 8 вкладок, гипотезы, трекер, терапия, источники, проверка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components/shared/workup-tracker.tsx</w:t>
            </w:r>
          </w:p>
        </w:tc>
        <w:tc>
          <w:tcPr>
            <w:tcW w:type="dxa" w:w="54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Трекер плана дообследования: статусы, результаты, подсказки, экспорт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components/shared/analysis-audit-panel.tsx</w:t>
            </w:r>
          </w:p>
        </w:tc>
        <w:tc>
          <w:tcPr>
            <w:tcW w:type="dxa" w:w="5443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Формальная проверка рекомендаций и отчёт самопроверки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lib/clinical-audit.ts</w:t>
            </w:r>
          </w:p>
        </w:tc>
        <w:tc>
          <w:tcPr>
            <w:tcW w:type="dxa" w:w="54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26 детерминированных правил полноты и безопасности, балл готовности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lib/clinical-normalize.ts</w:t>
            </w:r>
          </w:p>
        </w:tc>
        <w:tc>
          <w:tcPr>
            <w:tcW w:type="dxa" w:w="5443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Санитайзер структуры, перенос решений врача, запись трекера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lib/structured-extraction.ts</w:t>
            </w:r>
          </w:p>
        </w:tc>
        <w:tc>
          <w:tcPr>
            <w:tcW w:type="dxa" w:w="54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JSON-структуризация заключения отдельным проходом модели + zod-валидация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lib/minzdrav-rag.ts</w:t>
            </w:r>
          </w:p>
        </w:tc>
        <w:tc>
          <w:tcPr>
            <w:tcW w:type="dxa" w:w="5443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Поиск КР по теме, загрузка полных текстов, чанкинг и ранжирование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lib/international-rag.ts</w:t>
            </w:r>
          </w:p>
        </w:tc>
        <w:tc>
          <w:tcPr>
            <w:tcW w:type="dxa" w:w="54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PubMed E-utilities и поиск по доверенным доменам, кэш 6 ч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lib/ddi-online.ts</w:t>
            </w:r>
          </w:p>
        </w:tc>
        <w:tc>
          <w:tcPr>
            <w:tcW w:type="dxa" w:w="5443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Нормализация МНН, локальная таблица, потоковый онлайн-поиск, кэш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lib/network-health.ts</w:t>
            </w:r>
          </w:p>
        </w:tc>
        <w:tc>
          <w:tcPr>
            <w:tcW w:type="dxa" w:w="54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Мульти-эндпоинтный зонд, гистерезис, per-host circuit breaker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lib/e2ee/*, lib/crypto/*</w:t>
            </w:r>
          </w:p>
        </w:tc>
        <w:tc>
          <w:tcPr>
            <w:tcW w:type="dxa" w:w="5443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Argon2id, каскадное AEAD, X25519/HKDF, контейнер CryptoVault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lib/audit.ts</w:t>
            </w:r>
          </w:p>
        </w:tc>
        <w:tc>
          <w:tcPr>
            <w:tcW w:type="dxa" w:w="54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WORM-журнал с SHA-256 хеш-цепочкой и верификацией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lib/pdf-generator.ts</w:t>
            </w:r>
          </w:p>
        </w:tc>
        <w:tc>
          <w:tcPr>
            <w:tcW w:type="dxa" w:w="5443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PDF-отчёт с кириллицей, водяным знаком и подписью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prisma/schema.prisma</w:t>
            </w:r>
          </w:p>
        </w:tc>
        <w:tc>
          <w:tcPr>
            <w:tcW w:type="dxa" w:w="54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31 модель, связи, индексы</w:t>
            </w:r>
          </w:p>
        </w:tc>
      </w:tr>
    </w:tbl>
    <w:p>
      <w:pPr>
        <w:spacing w:after="40"/>
      </w:pPr>
    </w:p>
    <w:p>
      <w:pPr>
        <w:pStyle w:val="Heading2"/>
      </w:pPr>
      <w:r>
        <w:t>4.3. Основные потоки данных</w:t>
      </w:r>
    </w:p>
    <w:p>
      <w:pPr>
        <w:pStyle w:val="Heading3"/>
      </w:pPr>
      <w:r>
        <w:t>4.3.1. Загрузка документа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1. </w:t>
      </w:r>
      <w:r>
        <w:rPr>
          <w:b w:val="0"/>
          <w:sz w:val="21"/>
        </w:rPr>
        <w:t>Браузер отправляет файл на POST /api/cases/[id]/documents.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2. </w:t>
      </w:r>
      <w:r>
        <w:rPr>
          <w:b w:val="0"/>
          <w:sz w:val="21"/>
        </w:rPr>
        <w:t>Сервер проверяет доступ, тип и размер, извлекает текст (PDF/DOCX/изображение/VCF).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3. </w:t>
      </w:r>
      <w:r>
        <w:rPr>
          <w:b w:val="0"/>
          <w:sz w:val="21"/>
        </w:rPr>
        <w:t>Текст проходит де-идентификацию (regex + NER-обёртка), результат сохраняется в deidContent.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4. </w:t>
      </w:r>
      <w:r>
        <w:rPr>
          <w:b w:val="0"/>
          <w:sz w:val="21"/>
        </w:rPr>
        <w:t>Оригинал шифруется AES-256-GCM и записывается в private-storage (&lt;имя&gt;.enc + .meta).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5. </w:t>
      </w:r>
      <w:r>
        <w:rPr>
          <w:b w:val="0"/>
          <w:sz w:val="21"/>
        </w:rPr>
        <w:t>Событие фиксируется в системном логе и журнале аудита.</w:t>
      </w:r>
    </w:p>
    <w:p>
      <w:pPr>
        <w:pStyle w:val="Heading3"/>
      </w:pPr>
      <w:r>
        <w:t>4.3.2. ИИ-анализ кейса</w:t>
      </w:r>
    </w:p>
    <w:p>
      <w:r>
        <w:t>Описание шагов — в разделе 8. Ключевая особенность: каждый шаг изолирован try/catch, пайплайн деградирует частично (например, недоступен PubMed — анализ продолжается без международных источников). Если ИИ-сервер недоступен, система переходит в ручной режим и сохраняет кейс без заключения.</w:t>
      </w:r>
    </w:p>
    <w:p>
      <w:pPr>
        <w:pStyle w:val="Heading3"/>
      </w:pPr>
      <w:r>
        <w:t>4.3.3. E2EE карты пациента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1. </w:t>
      </w:r>
      <w:r>
        <w:rPr>
          <w:b w:val="0"/>
          <w:sz w:val="21"/>
        </w:rPr>
        <w:t>При первом входе браузер выводит KEK из пароля (Argon2id, 64 MiB, 3 итерации, p=4).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2. </w:t>
      </w:r>
      <w:r>
        <w:rPr>
          <w:b w:val="0"/>
          <w:sz w:val="21"/>
        </w:rPr>
        <w:t>KEK заворачивает master-DEK врача; на сервер уходит только шифротекст и параметры KDF.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3. </w:t>
      </w:r>
      <w:r>
        <w:rPr>
          <w:b w:val="0"/>
          <w:sz w:val="21"/>
        </w:rPr>
        <w:t>Для каждой карты генерируется собственный PDEK (64 байта); Tier-1 поля шифруются каскадом AES-256-GCM-SIV + ChaCha20-Poly1305.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4. </w:t>
      </w:r>
      <w:r>
        <w:rPr>
          <w:b w:val="0"/>
          <w:sz w:val="21"/>
        </w:rPr>
        <w:t>wrappedPdek хранится в карте; при выдаче доступа PDEK пере-заворачивается под ключ получателя (X25519 + HKDF-SHA256).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5. </w:t>
      </w:r>
      <w:r>
        <w:rPr>
          <w:b w:val="0"/>
          <w:sz w:val="21"/>
        </w:rPr>
        <w:t>Сервер не располагает ни KEK, ни DEK, ни PDEK в открытом виде.</w:t>
      </w:r>
    </w:p>
    <w:p>
      <w:pPr>
        <w:pStyle w:val="Heading3"/>
      </w:pPr>
      <w:r>
        <w:t>4.3.4. Внешний поиск знаний и DDI</w:t>
      </w:r>
    </w:p>
    <w:p>
      <w:r>
        <w:t>Запрос формируется из клинических терминов (диагноз, МКБ-10, МНН, гены), проходит санитайзер и только затем уходит в сеть. Каждый хост имеет собственный circuit breaker: недоступность PubMed не блокирует Минздрав и наоборот. Ответы кэшируются (MinzdravCache, DdiOnlineCache, in-memory кэш международных источников).</w:t>
      </w:r>
    </w:p>
    <w:p>
      <w:pPr>
        <w:pStyle w:val="Heading2"/>
      </w:pPr>
      <w:r>
        <w:t>4.4. Режимы работы и деградация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Режим</w:t>
            </w:r>
          </w:p>
        </w:tc>
        <w:tc>
          <w:tcPr>
            <w:tcW w:type="dxa" w:w="306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Условие</w:t>
            </w:r>
          </w:p>
        </w:tc>
        <w:tc>
          <w:tcPr>
            <w:tcW w:type="dxa" w:w="4762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Поведение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Полный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ИИ-сервер доступен, сеть доступна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Все шаги, включая международный RAG и онлайн-DDI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Локальный</w:t>
            </w:r>
          </w:p>
        </w:tc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ИИ доступен, сети нет</w:t>
            </w:r>
          </w:p>
        </w:tc>
        <w:tc>
          <w:tcPr>
            <w:tcW w:type="dxa" w:w="476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КР Минздрава из кэша/локальной БД, DDI по локальной таблице, ручной ввод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Ручной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ИИ недоступен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Кейс сохраняется, заключение не генерируется, интерфейс показывает статус «ограничено»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Частичный</w:t>
            </w:r>
          </w:p>
        </w:tc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Отдельный шаг упал</w:t>
            </w:r>
          </w:p>
        </w:tc>
        <w:tc>
          <w:tcPr>
            <w:tcW w:type="dxa" w:w="476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Ошибка логируется, конвейер продолжается без этого шага</w:t>
            </w:r>
          </w:p>
        </w:tc>
      </w:tr>
    </w:tbl>
    <w:p>
      <w:pPr>
        <w:spacing w:after="40"/>
      </w:pPr>
    </w:p>
    <w:p>
      <w:pPr>
        <w:pStyle w:val="Heading2"/>
      </w:pPr>
      <w:r>
        <w:t>4.5. Технологический стек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17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Компонент</w:t>
            </w:r>
          </w:p>
        </w:tc>
        <w:tc>
          <w:tcPr>
            <w:tcW w:type="dxa" w:w="2494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Версия</w:t>
            </w:r>
          </w:p>
        </w:tc>
        <w:tc>
          <w:tcPr>
            <w:tcW w:type="dxa" w:w="3742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Next.js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16 (^16.1.1; сборка на 16.3.0)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App Router, серверные маршруты, standalone-сборка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React</w:t>
            </w:r>
          </w:p>
        </w:tc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374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UI, клиентские компоненты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TypeScript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Строгая типизация (strict)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Tailwind CSS</w:t>
            </w:r>
          </w:p>
        </w:tc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74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Стили, дизайн-токены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shadcn/ui + Radix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Доступные примитивы интерфейса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TanStack Query</w:t>
            </w:r>
          </w:p>
        </w:tc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74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Кэш запросов, инвалидация, оптимистичные обновления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Zustand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Клиентское состояние (навигация, выбранный кейс)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Prisma ORM</w:t>
            </w:r>
          </w:p>
        </w:tc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74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Доступ к SQLite, миграции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SQLite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Локальная БД (db/custom.db)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jose</w:t>
            </w:r>
          </w:p>
        </w:tc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74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JWT HS256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bcryptjs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Хеширование паролей (cost 12)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@noble/ciphers, curves, hashes</w:t>
            </w:r>
          </w:p>
        </w:tc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74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AES-GCM-SIV, ChaCha20-Poly1305, X25519, HKDF, BLAKE3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hash-wasm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Argon2id в браузере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pdfkit</w:t>
            </w:r>
          </w:p>
        </w:tc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0.19</w:t>
            </w:r>
          </w:p>
        </w:tc>
        <w:tc>
          <w:tcPr>
            <w:tcW w:type="dxa" w:w="374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PDF-отчёты с кириллицей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unpdf, mammoth, sharp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Извлечение текста из PDF/DOCX, обработка изображений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Recharts</w:t>
            </w:r>
          </w:p>
        </w:tc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74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Графики аналитики и ЭМК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Vitest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Модульные тесты</w:t>
            </w:r>
          </w:p>
        </w:tc>
      </w:tr>
    </w:tbl>
    <w:p>
      <w:pPr>
        <w:spacing w:after="40"/>
      </w:pPr>
    </w:p>
    <w:p>
      <w:pPr>
        <w:pStyle w:val="Heading2"/>
      </w:pPr>
      <w:r>
        <w:t>4.6. Требования к окружению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154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Требование</w:t>
            </w:r>
          </w:p>
        </w:tc>
        <w:tc>
          <w:tcPr>
            <w:tcW w:type="dxa" w:w="317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Минимум</w:t>
            </w:r>
          </w:p>
        </w:tc>
        <w:tc>
          <w:tcPr>
            <w:tcW w:type="dxa" w:w="4082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Рекомендуется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Node.js / Bun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Node.js 20+ или Bun 1.1+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Bun 1.3 (как в package.json)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ОС</w:t>
            </w:r>
          </w:p>
        </w:tc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Windows 10/11, Linux x64</w:t>
            </w:r>
          </w:p>
        </w:tc>
        <w:tc>
          <w:tcPr>
            <w:tcW w:type="dxa" w:w="408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Linux с systemd, отдельный сервисный пользователь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Память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8 ГБ (без модели)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16–32 ГБ при локальной LLM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Диск</w:t>
            </w:r>
          </w:p>
        </w:tc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2 ГБ под приложение и БД</w:t>
            </w:r>
          </w:p>
        </w:tc>
        <w:tc>
          <w:tcPr>
            <w:tcW w:type="dxa" w:w="408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50+ ГБ под модели GGUF и вложения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ИИ-сервер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llama-server или LM Studio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llama.cpp с GPU-ускорением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Сеть</w:t>
            </w:r>
          </w:p>
        </w:tc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Не требуется для базовых функций</w:t>
            </w:r>
          </w:p>
        </w:tc>
        <w:tc>
          <w:tcPr>
            <w:tcW w:type="dxa" w:w="408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Для КР Минздрава, PubMed и онлайн-DDI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Порт приложения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3000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За Caddy/nginx на 443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6" w:color="14B8A6"/>
        </w:pBdr>
      </w:pPr>
      <w:r>
        <w:t>5. Структура репозитория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shd w:val="clear" w:color="auto" w:fill="F4F6F8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.</w:t>
              <w:br/>
            </w:r>
            <w:r>
              <w:rPr>
                <w:rFonts w:ascii="Consolas" w:hAnsi="Consolas" w:eastAsia="Consolas"/>
                <w:sz w:val="16"/>
              </w:rPr>
              <w:t>├── src/</w:t>
              <w:br/>
            </w:r>
            <w:r>
              <w:rPr>
                <w:rFonts w:ascii="Consolas" w:hAnsi="Consolas" w:eastAsia="Consolas"/>
                <w:sz w:val="16"/>
              </w:rPr>
              <w:t>│   ├── app/                  # App Router: page.tsx + api/** (72 route-файла)</w:t>
              <w:br/>
            </w:r>
            <w:r>
              <w:rPr>
                <w:rFonts w:ascii="Consolas" w:hAnsi="Consolas" w:eastAsia="Consolas"/>
                <w:sz w:val="16"/>
              </w:rPr>
              <w:t>│   │   ├── api/              # 121 endpoint</w:t>
              <w:br/>
            </w:r>
            <w:r>
              <w:rPr>
                <w:rFonts w:ascii="Consolas" w:hAnsi="Consolas" w:eastAsia="Consolas"/>
                <w:sz w:val="16"/>
              </w:rPr>
              <w:t>│   │   ├── globals.css       # дизайн-токены, градиенты</w:t>
              <w:br/>
            </w:r>
            <w:r>
              <w:rPr>
                <w:rFonts w:ascii="Consolas" w:hAnsi="Consolas" w:eastAsia="Consolas"/>
                <w:sz w:val="16"/>
              </w:rPr>
              <w:t>│   │   └── layout.tsx        # провайдеры темы, тосты</w:t>
              <w:br/>
            </w:r>
            <w:r>
              <w:rPr>
                <w:rFonts w:ascii="Consolas" w:hAnsi="Consolas" w:eastAsia="Consolas"/>
                <w:sz w:val="16"/>
              </w:rPr>
              <w:t>│   ├── components/</w:t>
              <w:br/>
            </w:r>
            <w:r>
              <w:rPr>
                <w:rFonts w:ascii="Consolas" w:hAnsi="Consolas" w:eastAsia="Consolas"/>
                <w:sz w:val="16"/>
              </w:rPr>
              <w:t>│   │   ├── ui/               # shadcn/Radix-примитивы</w:t>
              <w:br/>
            </w:r>
            <w:r>
              <w:rPr>
                <w:rFonts w:ascii="Consolas" w:hAnsi="Consolas" w:eastAsia="Consolas"/>
                <w:sz w:val="16"/>
              </w:rPr>
              <w:t>│   │   ├── shared/           # панели: анализ, трекер, отчёты, DDI, согласия</w:t>
              <w:br/>
            </w:r>
            <w:r>
              <w:rPr>
                <w:rFonts w:ascii="Consolas" w:hAnsi="Consolas" w:eastAsia="Consolas"/>
                <w:sz w:val="16"/>
              </w:rPr>
              <w:t>│   │   ├── views/            # экраны: dashboard, medical-record, case-workspace, …</w:t>
              <w:br/>
            </w:r>
            <w:r>
              <w:rPr>
                <w:rFonts w:ascii="Consolas" w:hAnsi="Consolas" w:eastAsia="Consolas"/>
                <w:sz w:val="16"/>
              </w:rPr>
              <w:t>│   │   ├── e2ee/             # клиентские провайдеры шифрования</w:t>
              <w:br/>
            </w:r>
            <w:r>
              <w:rPr>
                <w:rFonts w:ascii="Consolas" w:hAnsi="Consolas" w:eastAsia="Consolas"/>
                <w:sz w:val="16"/>
              </w:rPr>
              <w:t>│   │   └── auth/             # вход, смена пароля, переключатель врача</w:t>
              <w:br/>
            </w:r>
            <w:r>
              <w:rPr>
                <w:rFonts w:ascii="Consolas" w:hAnsi="Consolas" w:eastAsia="Consolas"/>
                <w:sz w:val="16"/>
              </w:rPr>
              <w:t>│   ├── lib/</w:t>
              <w:br/>
            </w:r>
            <w:r>
              <w:rPr>
                <w:rFonts w:ascii="Consolas" w:hAnsi="Consolas" w:eastAsia="Consolas"/>
                <w:sz w:val="16"/>
              </w:rPr>
              <w:t>│   │   ├── ai-service.ts     # фасад инференса, health, деградация</w:t>
              <w:br/>
            </w:r>
            <w:r>
              <w:rPr>
                <w:rFonts w:ascii="Consolas" w:hAnsi="Consolas" w:eastAsia="Consolas"/>
                <w:sz w:val="16"/>
              </w:rPr>
              <w:t>│   │   ├── lm-studio.ts      # OpenAI-совместимый клиент (llama-server/LM Studio)</w:t>
              <w:br/>
            </w:r>
            <w:r>
              <w:rPr>
                <w:rFonts w:ascii="Consolas" w:hAnsi="Consolas" w:eastAsia="Consolas"/>
                <w:sz w:val="16"/>
              </w:rPr>
              <w:t>│   │   ├── rag.ts            # рекомендации, DDI, МКБ-10, пути</w:t>
              <w:br/>
            </w:r>
            <w:r>
              <w:rPr>
                <w:rFonts w:ascii="Consolas" w:hAnsi="Consolas" w:eastAsia="Consolas"/>
                <w:sz w:val="16"/>
              </w:rPr>
              <w:t>│   │   ├── minzdrav-rag.ts   # topic-driven RAG по репозиторию КР</w:t>
              <w:br/>
            </w:r>
            <w:r>
              <w:rPr>
                <w:rFonts w:ascii="Consolas" w:hAnsi="Consolas" w:eastAsia="Consolas"/>
                <w:sz w:val="16"/>
              </w:rPr>
              <w:t>│   │   ├── international-rag.ts</w:t>
              <w:br/>
            </w:r>
            <w:r>
              <w:rPr>
                <w:rFonts w:ascii="Consolas" w:hAnsi="Consolas" w:eastAsia="Consolas"/>
                <w:sz w:val="16"/>
              </w:rPr>
              <w:t>│   │   ├── clinical-audit.ts # 26 правил проверки рекомендаций</w:t>
              <w:br/>
            </w:r>
            <w:r>
              <w:rPr>
                <w:rFonts w:ascii="Consolas" w:hAnsi="Consolas" w:eastAsia="Consolas"/>
                <w:sz w:val="16"/>
              </w:rPr>
              <w:t>│   │   ├── clinical-normalize.ts</w:t>
              <w:br/>
            </w:r>
            <w:r>
              <w:rPr>
                <w:rFonts w:ascii="Consolas" w:hAnsi="Consolas" w:eastAsia="Consolas"/>
                <w:sz w:val="16"/>
              </w:rPr>
              <w:t>│   │   ├── workup.ts         # ключи трекера, референсы, экспорт плана</w:t>
              <w:br/>
            </w:r>
            <w:r>
              <w:rPr>
                <w:rFonts w:ascii="Consolas" w:hAnsi="Consolas" w:eastAsia="Consolas"/>
                <w:sz w:val="16"/>
              </w:rPr>
              <w:t>│   │   ├── structured-extraction.ts</w:t>
              <w:br/>
            </w:r>
            <w:r>
              <w:rPr>
                <w:rFonts w:ascii="Consolas" w:hAnsi="Consolas" w:eastAsia="Consolas"/>
                <w:sz w:val="16"/>
              </w:rPr>
              <w:t>│   │   ├── crypto/, e2ee/    # каскадное AEAD, KDF, PDEK, grants</w:t>
              <w:br/>
            </w:r>
            <w:r>
              <w:rPr>
                <w:rFonts w:ascii="Consolas" w:hAnsi="Consolas" w:eastAsia="Consolas"/>
                <w:sz w:val="16"/>
              </w:rPr>
              <w:t>│   │   ├── audit.ts, auth.ts, case-access.ts, patient-access.ts</w:t>
              <w:br/>
            </w:r>
            <w:r>
              <w:rPr>
                <w:rFonts w:ascii="Consolas" w:hAnsi="Consolas" w:eastAsia="Consolas"/>
                <w:sz w:val="16"/>
              </w:rPr>
              <w:t>│   │   ├── storage.ts, encryption.ts, deidentify.ts, query-sanitizer.ts</w:t>
              <w:br/>
            </w:r>
            <w:r>
              <w:rPr>
                <w:rFonts w:ascii="Consolas" w:hAnsi="Consolas" w:eastAsia="Consolas"/>
                <w:sz w:val="16"/>
              </w:rPr>
              <w:t>│   │   └── pdf-generator.ts, logger.ts, network-health.ts, env.ts</w:t>
              <w:br/>
            </w:r>
            <w:r>
              <w:rPr>
                <w:rFonts w:ascii="Consolas" w:hAnsi="Consolas" w:eastAsia="Consolas"/>
                <w:sz w:val="16"/>
              </w:rPr>
              <w:t>│   └── proxy.ts              # edge-аутентификация и rate limit</w:t>
              <w:br/>
            </w:r>
            <w:r>
              <w:rPr>
                <w:rFonts w:ascii="Consolas" w:hAnsi="Consolas" w:eastAsia="Consolas"/>
                <w:sz w:val="16"/>
              </w:rPr>
              <w:t>├── prisma/</w:t>
              <w:br/>
            </w:r>
            <w:r>
              <w:rPr>
                <w:rFonts w:ascii="Consolas" w:hAnsi="Consolas" w:eastAsia="Consolas"/>
                <w:sz w:val="16"/>
              </w:rPr>
              <w:t>│   ├── schema.prisma         # 31 модель</w:t>
              <w:br/>
            </w:r>
            <w:r>
              <w:rPr>
                <w:rFonts w:ascii="Consolas" w:hAnsi="Consolas" w:eastAsia="Consolas"/>
                <w:sz w:val="16"/>
              </w:rPr>
              <w:t>│   └── migrations/           # init-миграция</w:t>
              <w:br/>
            </w:r>
            <w:r>
              <w:rPr>
                <w:rFonts w:ascii="Consolas" w:hAnsi="Consolas" w:eastAsia="Consolas"/>
                <w:sz w:val="16"/>
              </w:rPr>
              <w:t>├── db/custom.db              # SQLite (создаётся при первом запуске)</w:t>
              <w:br/>
            </w:r>
            <w:r>
              <w:rPr>
                <w:rFonts w:ascii="Consolas" w:hAnsi="Consolas" w:eastAsia="Consolas"/>
                <w:sz w:val="16"/>
              </w:rPr>
              <w:t>├── private-storage/          # зашифрованные вложения и PDF</w:t>
              <w:br/>
            </w:r>
            <w:r>
              <w:rPr>
                <w:rFonts w:ascii="Consolas" w:hAnsi="Consolas" w:eastAsia="Consolas"/>
                <w:sz w:val="16"/>
              </w:rPr>
              <w:t>├── public/fonts/             # DejaVu Sans (кириллица в PDF)</w:t>
              <w:br/>
            </w:r>
            <w:r>
              <w:rPr>
                <w:rFonts w:ascii="Consolas" w:hAnsi="Consolas" w:eastAsia="Consolas"/>
                <w:sz w:val="16"/>
              </w:rPr>
              <w:t>├── scripts/                  # ensure-env.ts, rotate-encryption-key.ts</w:t>
              <w:br/>
            </w:r>
            <w:r>
              <w:rPr>
                <w:rFonts w:ascii="Consolas" w:hAnsi="Consolas" w:eastAsia="Consolas"/>
                <w:sz w:val="16"/>
              </w:rPr>
              <w:t>├── vitest.config.ts          # тесты</w:t>
              <w:br/>
            </w:r>
            <w:r>
              <w:rPr>
                <w:rFonts w:ascii="Consolas" w:hAnsi="Consolas" w:eastAsia="Consolas"/>
                <w:sz w:val="16"/>
              </w:rPr>
              <w:t>├── next.config.ts            # security headers, standalone</w:t>
              <w:br/>
            </w:r>
            <w:r>
              <w:rPr>
                <w:rFonts w:ascii="Consolas" w:hAnsi="Consolas" w:eastAsia="Consolas"/>
                <w:sz w:val="16"/>
              </w:rPr>
              <w:t>└── Caddyfile                 # reverse proxy :81 → :3000</w:t>
            </w:r>
          </w:p>
        </w:tc>
      </w:tr>
    </w:tbl>
    <w:p>
      <w:pPr>
        <w:pStyle w:val="CaptionSmall"/>
      </w:pPr>
      <w:r>
        <w:t>Рис. 5.1. Структура репозитория (основное)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Каталог</w:t>
            </w:r>
          </w:p>
        </w:tc>
        <w:tc>
          <w:tcPr>
            <w:tcW w:type="dxa" w:w="7030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Правило изменения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src/app/api</w:t>
            </w:r>
          </w:p>
        </w:tc>
        <w:tc>
          <w:tcPr>
            <w:tcW w:type="dxa" w:w="703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Новый endpoint — отдельный route.ts; валидация через zod; проверка доступа через requireAuth/requireCaseAccess/requireAdmin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src/lib</w:t>
            </w:r>
          </w:p>
        </w:tc>
        <w:tc>
          <w:tcPr>
            <w:tcW w:type="dxa" w:w="703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Доменная логика без React; серверные модули помечаются import "server-only" там, где нужен Node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src/components/ui</w:t>
            </w:r>
          </w:p>
        </w:tc>
        <w:tc>
          <w:tcPr>
            <w:tcW w:type="dxa" w:w="703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Сгенерированные примитивы; правки — минимальные и совместимые с обновлением shadcn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src/components/shared</w:t>
            </w:r>
          </w:p>
        </w:tc>
        <w:tc>
          <w:tcPr>
            <w:tcW w:type="dxa" w:w="703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Переиспользуемые панели; экран анализа и трекер описаны в разделе 8.11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prisma</w:t>
            </w:r>
          </w:p>
        </w:tc>
        <w:tc>
          <w:tcPr>
            <w:tcW w:type="dxa" w:w="703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Изменения схемы — только через миграции; db:push использовать лишь в разработке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private-storage</w:t>
            </w:r>
          </w:p>
        </w:tc>
        <w:tc>
          <w:tcPr>
            <w:tcW w:type="dxa" w:w="703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Никогда не размещать внутри public: статика отдаётся без аутентификации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6" w:color="14B8A6"/>
        </w:pBdr>
      </w:pPr>
      <w:r>
        <w:t>6. Модель данных</w:t>
      </w:r>
    </w:p>
    <w:p>
      <w:pPr>
        <w:pStyle w:val="Heading2"/>
      </w:pPr>
      <w:r>
        <w:t>6.1. Общие сведения</w:t>
      </w:r>
    </w:p>
    <w:p>
      <w:r>
        <w:t>Хранилище — SQLite (файл db/custom.db), доступ через Prisma ORM. Схема содержит 31 модель и одну начальную миграцию. Путь к БД задаётся DATABASE_URL; если переменная не задана, src/lib/db.ts подставляет абсолютный путь &lt;проект&gt;/db/custom.db (совместимо с Windows).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Свойство</w:t>
            </w:r>
          </w:p>
        </w:tc>
        <w:tc>
          <w:tcPr>
            <w:tcW w:type="dxa" w:w="7143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СУБД</w:t>
            </w:r>
          </w:p>
        </w:tc>
        <w:tc>
          <w:tcPr>
            <w:tcW w:type="dxa" w:w="714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SQLite (файловая, один узел)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ORM</w:t>
            </w:r>
          </w:p>
        </w:tc>
        <w:tc>
          <w:tcPr>
            <w:tcW w:type="dxa" w:w="71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Prisma 6, генерация клиента в postinstall/`db:generate`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Файл БД</w:t>
            </w:r>
          </w:p>
        </w:tc>
        <w:tc>
          <w:tcPr>
            <w:tcW w:type="dxa" w:w="714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db/custom.db (создаётся при первом запуске)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Миграции</w:t>
            </w:r>
          </w:p>
        </w:tc>
        <w:tc>
          <w:tcPr>
            <w:tcW w:type="dxa" w:w="71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prisma/migrations/20261015110331_init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Моделей</w:t>
            </w:r>
          </w:p>
        </w:tc>
        <w:tc>
          <w:tcPr>
            <w:tcW w:type="dxa" w:w="714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31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Режим разработки</w:t>
            </w:r>
          </w:p>
        </w:tc>
        <w:tc>
          <w:tcPr>
            <w:tcW w:type="dxa" w:w="71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`db:push` (без истории миграций) допустим только локально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Промышленный режим</w:t>
            </w:r>
          </w:p>
        </w:tc>
        <w:tc>
          <w:tcPr>
            <w:tcW w:type="dxa" w:w="714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`prisma migrate deploy` / `db:migrate`</w:t>
            </w:r>
          </w:p>
        </w:tc>
      </w:tr>
    </w:tbl>
    <w:p>
      <w:pPr>
        <w:spacing w:after="40"/>
      </w:pPr>
    </w:p>
    <w:p>
      <w:pPr>
        <w:pStyle w:val="Heading2"/>
      </w:pPr>
      <w:r>
        <w:t>6.2. Домены моделей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Домен</w:t>
            </w:r>
          </w:p>
        </w:tc>
        <w:tc>
          <w:tcPr>
            <w:tcW w:type="dxa" w:w="4422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Модели</w:t>
            </w:r>
          </w:p>
        </w:tc>
        <w:tc>
          <w:tcPr>
            <w:tcW w:type="dxa" w:w="317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Пользователи и доступ</w:t>
            </w:r>
          </w:p>
        </w:tc>
        <w:tc>
          <w:tcPr>
            <w:tcW w:type="dxa" w:w="442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Doctor, DoctorKeyMaterial, PatientAccessGrant, CaseShare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Врачи и администраторы, ключевой материал E2EE, выдача доступа к картам и кейсам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Кейсы и анализ</w:t>
            </w:r>
          </w:p>
        </w:tc>
        <w:tc>
          <w:tcPr>
            <w:tcW w:type="dxa" w:w="442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Case, Document, AnalysisResult, AnalysisVersion</w:t>
            </w:r>
          </w:p>
        </w:tc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Клинический случай, документы, результат ИИ и снапшоты версий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Отчётность</w:t>
            </w:r>
          </w:p>
        </w:tc>
        <w:tc>
          <w:tcPr>
            <w:tcW w:type="dxa" w:w="442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Report, ReportSignature, ReportTemplate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Отчёты, электронные подписи, шаблоны секций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ЭМК</w:t>
            </w:r>
          </w:p>
        </w:tc>
        <w:tc>
          <w:tcPr>
            <w:tcW w:type="dxa" w:w="442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Patient, Visit, VitalSign, Medication, Immunization, LabResult, Problem, CarePlan, Examination</w:t>
            </w:r>
          </w:p>
        </w:tc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Карта пациента и клинические данные; обследования связаны с кейсом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Знания</w:t>
            </w:r>
          </w:p>
        </w:tc>
        <w:tc>
          <w:tcPr>
            <w:tcW w:type="dxa" w:w="442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ClinicalRecommendation, KnowledgeDocument, ICD10Code, DrugInteraction, DdiOnlineCache, ClinicalPathway, MinzdravCache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Локальные справочники, загруженные документы знаний, кэши внешних источников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Служебные</w:t>
            </w:r>
          </w:p>
        </w:tc>
        <w:tc>
          <w:tcPr>
            <w:tcW w:type="dxa" w:w="442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AuditLog, Consent, SystemLog, Notification</w:t>
            </w:r>
          </w:p>
        </w:tc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Аудит действий, согласия, системные логи, уведомления</w:t>
            </w:r>
          </w:p>
        </w:tc>
      </w:tr>
    </w:tbl>
    <w:p>
      <w:pPr>
        <w:spacing w:after="40"/>
      </w:pPr>
    </w:p>
    <w:p>
      <w:pPr>
        <w:pStyle w:val="Heading2"/>
      </w:pPr>
      <w:r>
        <w:t>6.3. Ключевые сущности</w:t>
      </w:r>
    </w:p>
    <w:p>
      <w:pPr>
        <w:pStyle w:val="Heading3"/>
      </w:pPr>
      <w:r>
        <w:t>6.3.1. Doctor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4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26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19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String (cuid)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Первичный ключ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fullName, specialization</w:t>
            </w:r>
          </w:p>
        </w:tc>
        <w:tc>
          <w:tcPr>
            <w:tcW w:type="dxa" w:w="226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419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ФИО и специальность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doctorCode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String (unique)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Логин; используется в подписях и аудите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passwordHash</w:t>
            </w:r>
          </w:p>
        </w:tc>
        <w:tc>
          <w:tcPr>
            <w:tcW w:type="dxa" w:w="226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419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bcrypt, cost 12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role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doctor | admin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isActive</w:t>
            </w:r>
          </w:p>
        </w:tc>
        <w:tc>
          <w:tcPr>
            <w:tcW w:type="dxa" w:w="226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419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Блокировка учётной записи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tokenVersion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Инкремент мгновенно отзывает выданные JWT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failedLoginAttempts, lockedUntil</w:t>
            </w:r>
          </w:p>
        </w:tc>
        <w:tc>
          <w:tcPr>
            <w:tcW w:type="dxa" w:w="226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Int, DateTime?</w:t>
            </w:r>
          </w:p>
        </w:tc>
        <w:tc>
          <w:tcPr>
            <w:tcW w:type="dxa" w:w="419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Политика блокировки: 5 попыток / 15 минут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keyMaterial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String?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Сериализованный ключевой материал E2EE (шифротекст)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lastLoginAt</w:t>
            </w:r>
          </w:p>
        </w:tc>
        <w:tc>
          <w:tcPr>
            <w:tcW w:type="dxa" w:w="226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DateTime?</w:t>
            </w:r>
          </w:p>
        </w:tc>
        <w:tc>
          <w:tcPr>
            <w:tcW w:type="dxa" w:w="419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Диагностика входов</w:t>
            </w:r>
          </w:p>
        </w:tc>
      </w:tr>
    </w:tbl>
    <w:p>
      <w:pPr>
        <w:spacing w:after="40"/>
      </w:pPr>
    </w:p>
    <w:p>
      <w:pPr>
        <w:pStyle w:val="Heading3"/>
      </w:pPr>
      <w:r>
        <w:t>6.3.2. Case и Document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576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Case.caseCode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Человекочитаемый код случая (например, СЛЧ-2024-0001)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Case.patientToken, birthYear, sex</w:t>
            </w:r>
          </w:p>
        </w:tc>
        <w:tc>
          <w:tcPr>
            <w:tcW w:type="dxa" w:w="657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Псевдонимизированные демографические данные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Case.status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uploaded | analyzing | analyzed | … (используется UI и сбросом при ошибке)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Case.diagnosisHint</w:t>
            </w:r>
          </w:p>
        </w:tc>
        <w:tc>
          <w:tcPr>
            <w:tcW w:type="dxa" w:w="657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Предварительный диагноз, введённый врачом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Case.icd10Codes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JSON-массив предложенных кодов после анализа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Case.doctorId</w:t>
            </w:r>
          </w:p>
        </w:tc>
        <w:tc>
          <w:tcPr>
            <w:tcW w:type="dxa" w:w="657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Владелец; проверяется requireCaseAccess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Document.fileType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discharge | genetic | image | other — определяет ветку конвейера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Document.rawContent / deidContent</w:t>
            </w:r>
          </w:p>
        </w:tc>
        <w:tc>
          <w:tcPr>
            <w:tcW w:type="dxa" w:w="657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Исходный и де-идентифицированный текст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Document.extractedMeta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JSON: варианты, измерения, служебные метаданные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Document.storagePath</w:t>
            </w:r>
          </w:p>
        </w:tc>
        <w:tc>
          <w:tcPr>
            <w:tcW w:type="dxa" w:w="657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Относительный путь в private-storage (без расширения .enc)</w:t>
            </w:r>
          </w:p>
        </w:tc>
      </w:tr>
    </w:tbl>
    <w:p>
      <w:pPr>
        <w:spacing w:after="40"/>
      </w:pPr>
    </w:p>
    <w:p>
      <w:pPr>
        <w:pStyle w:val="Heading3"/>
      </w:pPr>
      <w:r>
        <w:t>6.3.3. AnalysisResult</w:t>
      </w:r>
    </w:p>
    <w:p>
      <w:r>
        <w:t>Одна строка на кейс (связь 1:1 по caseId). Поля-массивы хранятся как JSON-строки и разбираются на границе API.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06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6350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Содержимое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entities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Сущности из выписок (диагнозы, препараты, жалобы, значения)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mutations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Генетические варианты с клинической значимостью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recommendations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Найденные клинические рекомендации (RAG)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conclusion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Итоговый текст заключения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sections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Разделы заключения: title, content, confidence, citations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confidence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Самооценка модели: diagnosis, therapy, prognosis, overall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citations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Цитаты-источники (XAI): claim, source, fragment, location, documentId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imageFindings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Результаты VLM-анализа снимков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controlWeights, doctorComments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Ручные корректировки и комментарии врача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therapyRecommendations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Терапевтические рекомендации из отдельного маршрута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ddiAlerts, icd10Suggestions, pathwayMatches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Результаты шагов 7–8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structured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Структурированный блок v5.2 (см. 6.4)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Счётчик версий анализа (снапшоты — в AnalysisVersion)</w:t>
            </w:r>
          </w:p>
        </w:tc>
      </w:tr>
    </w:tbl>
    <w:p>
      <w:pPr>
        <w:spacing w:after="40"/>
      </w:pPr>
    </w:p>
    <w:p>
      <w:pPr>
        <w:pStyle w:val="Heading3"/>
      </w:pPr>
      <w:r>
        <w:t>6.3.4. AnalysisVersion</w:t>
      </w:r>
    </w:p>
    <w:p>
      <w:r>
        <w:t>При повторном анализе текущее состояние AnalysisResult целиком копируется в AnalysisVersion (snapshot + changeNote + doctorId), после чего основная строка перезаписывается и version увеличивается. Это позволяет сравнивать версии и разбирать изменения заключения.</w:t>
      </w:r>
    </w:p>
    <w:p>
      <w:pPr>
        <w:pStyle w:val="Heading3"/>
      </w:pPr>
      <w:r>
        <w:t>6.3.5. Patient и клинические сущности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4422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Ключевые поля</w:t>
            </w:r>
          </w:p>
        </w:tc>
        <w:tc>
          <w:tcPr>
            <w:tcW w:type="dxa" w:w="328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Особенность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Patient</w:t>
            </w:r>
          </w:p>
        </w:tc>
        <w:tc>
          <w:tcPr>
            <w:tcW w:type="dxa" w:w="442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patientToken, lastName/firstName/middleName, birthDate, phone, email, address, snils, omiPolicy, allergies, chronicDiseases, familyHistory, wrappedPdek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Прямые идентификаторы хранятся в формате enc:v1:… (E2EE), открытыми остаются токен, пол, год рождения, группа крови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Visit</w:t>
            </w:r>
          </w:p>
        </w:tc>
        <w:tc>
          <w:tcPr>
            <w:tcW w:type="dxa" w:w="442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visitType, status, SOAP-поля, diagnosis, prescriptions, scheduledAt</w:t>
            </w:r>
          </w:p>
        </w:tc>
        <w:tc>
          <w:tcPr>
            <w:tcW w:type="dxa" w:w="328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Связывает витальные показатели, назначения, лабораторию и обследования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VitalSign</w:t>
            </w:r>
          </w:p>
        </w:tc>
        <w:tc>
          <w:tcPr>
            <w:tcW w:type="dxa" w:w="442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АД, ЧСС, ЧДД, температура, SpO2, рост/вес/ИМТ, глюкоза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Основа графиков и индекса здоровья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Medication</w:t>
            </w:r>
          </w:p>
        </w:tc>
        <w:tc>
          <w:tcPr>
            <w:tcW w:type="dxa" w:w="442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drugName, dosage, route, frequency, status, indication</w:t>
            </w:r>
          </w:p>
        </w:tc>
        <w:tc>
          <w:tcPr>
            <w:tcW w:type="dxa" w:w="328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Активные препараты участвуют в DDI-проверках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LabResult</w:t>
            </w:r>
          </w:p>
        </w:tc>
        <w:tc>
          <w:tcPr>
            <w:tcW w:type="dxa" w:w="442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testName, value, unit, refRangeLow/High, flag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Отклонения используются в сводке и проверках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Problem / CarePlan</w:t>
            </w:r>
          </w:p>
        </w:tc>
        <w:tc>
          <w:tcPr>
            <w:tcW w:type="dxa" w:w="442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МКБ-10, статус, тяжесть; цели и вмешательства</w:t>
            </w:r>
          </w:p>
        </w:tc>
        <w:tc>
          <w:tcPr>
            <w:tcW w:type="dxa" w:w="328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Проблемный лист и планы ведения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Examination</w:t>
            </w:r>
          </w:p>
        </w:tc>
        <w:tc>
          <w:tcPr>
            <w:tcW w:type="dxa" w:w="442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examType, modality, status, priority, resultValue, interpretation, clinrecCodeVersion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Инструментальные и лабораторные обследования, связанные с кейсом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Consent</w:t>
            </w:r>
          </w:p>
        </w:tc>
        <w:tc>
          <w:tcPr>
            <w:tcW w:type="dxa" w:w="442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consentType, granted, validUntil, notes</w:t>
            </w:r>
          </w:p>
        </w:tc>
        <w:tc>
          <w:tcPr>
            <w:tcW w:type="dxa" w:w="328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Без действующего ai_analysis анализ запрещён</w:t>
            </w:r>
          </w:p>
        </w:tc>
      </w:tr>
    </w:tbl>
    <w:p>
      <w:pPr>
        <w:spacing w:after="40"/>
      </w:pPr>
    </w:p>
    <w:p>
      <w:pPr>
        <w:pStyle w:val="Heading3"/>
      </w:pPr>
      <w:r>
        <w:t>6.3.6. AuditLog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60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803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action</w:t>
            </w:r>
          </w:p>
        </w:tc>
        <w:tc>
          <w:tcPr>
            <w:tcW w:type="dxa" w:w="680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Тип действия: analyze, confirm_dx, workup_status_update, report_sign, login_failed и др.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details</w:t>
            </w:r>
          </w:p>
        </w:tc>
        <w:tc>
          <w:tcPr>
            <w:tcW w:type="dxa" w:w="680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JSON с параметрами действия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caseId, doctorId</w:t>
            </w:r>
          </w:p>
        </w:tc>
        <w:tc>
          <w:tcPr>
            <w:tcW w:type="dxa" w:w="680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Связь с кейсом и действующим врачом (не владельцем)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ipAddress, userAgent</w:t>
            </w:r>
          </w:p>
        </w:tc>
        <w:tc>
          <w:tcPr>
            <w:tcW w:type="dxa" w:w="680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Сетевые атрибуты запроса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prevHash, hash</w:t>
            </w:r>
          </w:p>
        </w:tc>
        <w:tc>
          <w:tcPr>
            <w:tcW w:type="dxa" w:w="680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Хеш-цепочка: SHA-256 от канонической строки, включающей prevHash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createdAt</w:t>
            </w:r>
          </w:p>
        </w:tc>
        <w:tc>
          <w:tcPr>
            <w:tcW w:type="dxa" w:w="680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Время события (UTC)</w:t>
            </w:r>
          </w:p>
        </w:tc>
      </w:tr>
    </w:tbl>
    <w:p>
      <w:pPr>
        <w:spacing w:after="40"/>
      </w:pPr>
    </w:p>
    <w:p>
      <w:pPr>
        <w:pStyle w:val="Heading2"/>
      </w:pPr>
      <w:r>
        <w:t>6.4. Структура structured (v5.2)</w:t>
      </w:r>
    </w:p>
    <w:p>
      <w:r>
        <w:t>Поле AnalysisResult.structured — центральный контракт между ИИ-конвейером и интерфейсом. Оно хранится как JSON и содержит как вывод модели, так и решения врача.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154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294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814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Кто пишет</w:t>
            </w:r>
          </w:p>
        </w:tc>
        <w:tc>
          <w:tcPr>
            <w:tcW w:type="dxa" w:w="2494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differential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DifferentialDiagnosis[]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модель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3–5 гипотез с обоснованием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workupPlan</w:t>
            </w:r>
          </w:p>
        </w:tc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WorkupItem[]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модель</w:t>
            </w:r>
          </w:p>
        </w:tc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План дообследования с подсказками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therapyOptions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TherapyOption[]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модель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Опции терапии, привязанные к гипотезам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monitoringPlan</w:t>
            </w:r>
          </w:p>
        </w:tc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MonitoringMarker[]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модель</w:t>
            </w:r>
          </w:p>
        </w:tc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Маркеры контроля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verification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VerificationReport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самопроверка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Проходы, исправления, grounded-флаг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confirmedDx</w:t>
            </w:r>
          </w:p>
        </w:tc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string[]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врач</w:t>
            </w:r>
          </w:p>
        </w:tc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Подтверждённые диагнозы (разблокируют терапию)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workupTracker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Record&lt;string, WorkupTrackerEntry&gt;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врач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Статусы и результаты исследований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patientSafety</w:t>
            </w:r>
          </w:p>
        </w:tc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PatientSafetyContext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сервер</w:t>
            </w:r>
          </w:p>
        </w:tc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Аллергии, терапия, функция почек на момент анализа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normalizationFixes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string[]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сервер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Автоматические исправления структуры</w:t>
            </w:r>
          </w:p>
        </w:tc>
      </w:tr>
    </w:tbl>
    <w:p>
      <w:pPr>
        <w:spacing w:after="40"/>
      </w:pPr>
    </w:p>
    <w:p>
      <w:pPr>
        <w:pStyle w:val="Heading3"/>
      </w:pPr>
      <w:r>
        <w:t>6.4.1. DifferentialDiagnosis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06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350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rank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Порядковый номер (1 — наиболее вероятная гипотеза)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diagnosis, icd10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Название и код МКБ-10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probability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Вероятность 0..1 (после нормализации — доля, не проценты)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argumentsFor / argumentsAgainst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Аргументы «за» и «против», привязанные к данным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workup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Чем подтверждать/исключать именно эту гипотезу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redFlags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Настораживающие признаки и немедленные действия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clinrecCode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Код/версия КР Минздрава при сверке с репозиторием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sources, notes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Источники и комментарий о дифференциации</w:t>
            </w:r>
          </w:p>
        </w:tc>
      </w:tr>
    </w:tbl>
    <w:p>
      <w:pPr>
        <w:spacing w:after="40"/>
      </w:pPr>
    </w:p>
    <w:p>
      <w:pPr>
        <w:pStyle w:val="Heading3"/>
      </w:pPr>
      <w:r>
        <w:t>6.4.2. WorkupItem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06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350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Название исследования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priority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urgent | high | routine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Зачем выполняется (какую гипотезу проверяет)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targetDxConfirm / targetDxRefute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Гипотезы, которые тест подтверждает / исключает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refuteOn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При каком исходе срабатывает исключение: positive | negative | value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expectedResult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Ожидаемая картина при целевой гипотезе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normalRange, cutoffs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Норма и пороги (референсный диапазон)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confirmsIf, refutesIf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Критерии подтверждения и исключения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Развёрнутое руководство по интерпретации результата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timing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Срок выполнения: «в течение 1 часа», «натощак утром»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preparation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Подготовка к исследованию</w:t>
            </w:r>
          </w:p>
        </w:tc>
      </w:tr>
    </w:tbl>
    <w:p>
      <w:pPr>
        <w:spacing w:after="40"/>
      </w:pPr>
    </w:p>
    <w:p>
      <w:pPr>
        <w:pStyle w:val="Heading3"/>
      </w:pPr>
      <w:r>
        <w:t>6.4.3. TherapyOption и MonitoringMarker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72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Сущность / поле</w:t>
            </w:r>
          </w:p>
        </w:tc>
        <w:tc>
          <w:tcPr>
            <w:tcW w:type="dxa" w:w="6690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TherapyOption.name</w:t>
            </w:r>
          </w:p>
        </w:tc>
        <w:tc>
          <w:tcPr>
            <w:tcW w:type="dxa" w:w="669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МНН препарата или название схемы</w:t>
            </w:r>
          </w:p>
        </w:tc>
      </w:tr>
      <w:tr>
        <w:trPr>
          <w:cantSplit w:val="true"/>
        </w:trPr>
        <w:tc>
          <w:tcPr>
            <w:tcW w:type="dxa" w:w="272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regimen</w:t>
            </w:r>
          </w:p>
        </w:tc>
        <w:tc>
          <w:tcPr>
            <w:tcW w:type="dxa" w:w="669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Доза, путь, кратность, длительность (обязательна цифра)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evidenceLevel, source</w:t>
            </w:r>
          </w:p>
        </w:tc>
        <w:tc>
          <w:tcPr>
            <w:tcW w:type="dxa" w:w="669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Уровень доказательности и источник (КР/гайдлайн)</w:t>
            </w:r>
          </w:p>
        </w:tc>
      </w:tr>
      <w:tr>
        <w:trPr>
          <w:cantSplit w:val="true"/>
        </w:trPr>
        <w:tc>
          <w:tcPr>
            <w:tcW w:type="dxa" w:w="272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justification</w:t>
            </w:r>
          </w:p>
        </w:tc>
        <w:tc>
          <w:tcPr>
            <w:tcW w:type="dxa" w:w="669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Механизм и обоснование выбора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targetDx</w:t>
            </w:r>
          </w:p>
        </w:tc>
        <w:tc>
          <w:tcPr>
            <w:tcW w:type="dxa" w:w="669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Гипотеза, после подтверждения которой опция разблокируется</w:t>
            </w:r>
          </w:p>
        </w:tc>
      </w:tr>
      <w:tr>
        <w:trPr>
          <w:cantSplit w:val="true"/>
        </w:trPr>
        <w:tc>
          <w:tcPr>
            <w:tcW w:type="dxa" w:w="272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caution</w:t>
            </w:r>
          </w:p>
        </w:tc>
        <w:tc>
          <w:tcPr>
            <w:tcW w:type="dxa" w:w="669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Противопоказания и контроль до старта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MonitoringMarker.marker</w:t>
            </w:r>
          </w:p>
        </w:tc>
        <w:tc>
          <w:tcPr>
            <w:tcW w:type="dxa" w:w="669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Показатель контроля</w:t>
            </w:r>
          </w:p>
        </w:tc>
      </w:tr>
      <w:tr>
        <w:trPr>
          <w:cantSplit w:val="true"/>
        </w:trPr>
        <w:tc>
          <w:tcPr>
            <w:tcW w:type="dxa" w:w="272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frequency, target, purpose</w:t>
            </w:r>
          </w:p>
        </w:tc>
        <w:tc>
          <w:tcPr>
            <w:tcW w:type="dxa" w:w="669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Частота, целевое значение, зачем</w:t>
            </w:r>
          </w:p>
        </w:tc>
      </w:tr>
    </w:tbl>
    <w:p>
      <w:pPr>
        <w:spacing w:after="40"/>
      </w:pPr>
    </w:p>
    <w:p>
      <w:pPr>
        <w:pStyle w:val="Heading3"/>
      </w:pPr>
      <w:r>
        <w:t>6.4.4. WorkupTrackerEntry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72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690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669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planned | ordered | completed | resulted | cancelled</w:t>
            </w:r>
          </w:p>
        </w:tc>
      </w:tr>
      <w:tr>
        <w:trPr>
          <w:cantSplit w:val="true"/>
        </w:trPr>
        <w:tc>
          <w:tcPr>
            <w:tcW w:type="dxa" w:w="272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resultValue</w:t>
            </w:r>
          </w:p>
        </w:tc>
        <w:tc>
          <w:tcPr>
            <w:tcW w:type="dxa" w:w="669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Введённый результат (свободный текст)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resultAt</w:t>
            </w:r>
          </w:p>
        </w:tc>
        <w:tc>
          <w:tcPr>
            <w:tcW w:type="dxa" w:w="669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Время фиксации результата (не перезаписывается, если результат не менялся)</w:t>
            </w:r>
          </w:p>
        </w:tc>
      </w:tr>
      <w:tr>
        <w:trPr>
          <w:cantSplit w:val="true"/>
        </w:trPr>
        <w:tc>
          <w:tcPr>
            <w:tcW w:type="dxa" w:w="272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comment</w:t>
            </w:r>
          </w:p>
        </w:tc>
        <w:tc>
          <w:tcPr>
            <w:tcW w:type="dxa" w:w="669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Комментарий врача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updatedBy / updatedAt</w:t>
            </w:r>
          </w:p>
        </w:tc>
        <w:tc>
          <w:tcPr>
            <w:tcW w:type="dxa" w:w="669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Кто и когда последним изменил запись</w:t>
            </w:r>
          </w:p>
        </w:tc>
      </w:tr>
    </w:tbl>
    <w:p>
      <w:pPr>
        <w:spacing w:after="40"/>
      </w:pPr>
    </w:p>
    <w:p>
      <w:r>
        <w:t>Ключ записи — normalizeWorkupKey(name): нижний регистр, замена «ё», удаление кавычек и пунктуации, сжатие пробелов. Ключ считается от названия исследования, поэтому отметки переживают повторный анализ: названия те же — ключи те же. При пересчёте переносятся только записи, чьи исследования остались в новом плане.</w:t>
      </w:r>
    </w:p>
    <w:p>
      <w:pPr>
        <w:pStyle w:val="Heading3"/>
      </w:pPr>
      <w:r>
        <w:t>6.4.5. PatientSafetyContext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60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803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allergies</w:t>
            </w:r>
          </w:p>
        </w:tc>
        <w:tc>
          <w:tcPr>
            <w:tcW w:type="dxa" w:w="680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Аллергены из карты пациента (по ним проверяются препараты)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activeMedications</w:t>
            </w:r>
          </w:p>
        </w:tc>
        <w:tc>
          <w:tcPr>
            <w:tcW w:type="dxa" w:w="680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Активная терапия на момент анализа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age, sex</w:t>
            </w:r>
          </w:p>
        </w:tc>
        <w:tc>
          <w:tcPr>
            <w:tcW w:type="dxa" w:w="680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Возраст и пол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renal</w:t>
            </w:r>
          </w:p>
        </w:tc>
        <w:tc>
          <w:tcPr>
            <w:tcW w:type="dxa" w:w="680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eGFR или креатинин, если были в лаборатории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capturedAt</w:t>
            </w:r>
          </w:p>
        </w:tc>
        <w:tc>
          <w:tcPr>
            <w:tcW w:type="dxa" w:w="680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Момент снятия снапшота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tcBorders>
              <w:top w:val="single" w:sz="4" w:color="1D4ED8"/>
              <w:bottom w:val="single" w:sz="4" w:color="1D4ED8"/>
              <w:right w:val="single" w:sz="4" w:color="1D4ED8"/>
              <w:left w:val="single" w:sz="18" w:color="1D4ED8"/>
            </w:tcBorders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9"/>
              </w:rPr>
              <w:t>Снапшот безопасности снимается сервером до обращения к модели. Проверка «препарат ↔ аллергия» выполняется детерминированно по этому снапшоту, а не моделью, — модель может не знать об аллергии.</w:t>
            </w:r>
          </w:p>
        </w:tc>
      </w:tr>
    </w:tbl>
    <w:p>
      <w:pPr>
        <w:spacing w:after="40"/>
      </w:pPr>
    </w:p>
    <w:p>
      <w:pPr>
        <w:pStyle w:val="Heading3"/>
      </w:pPr>
      <w:r>
        <w:t>6.4.6. Пример structured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shd w:val="clear" w:color="auto" w:fill="F4F6F8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{</w:t>
              <w:br/>
            </w:r>
            <w:r>
              <w:rPr>
                <w:rFonts w:ascii="Consolas" w:hAnsi="Consolas" w:eastAsia="Consolas"/>
                <w:sz w:val="16"/>
              </w:rPr>
              <w:t xml:space="preserve">  "differential": [{</w:t>
              <w:br/>
            </w:r>
            <w:r>
              <w:rPr>
                <w:rFonts w:ascii="Consolas" w:hAnsi="Consolas" w:eastAsia="Consolas"/>
                <w:sz w:val="16"/>
              </w:rPr>
              <w:t xml:space="preserve">    "rank": 1,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"diagnosis": "Внебольничная пневмония справа, средней степени тяжести",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"icd10": "J18.9",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"probability": 0.62,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"argumentsFor": ["Лихорадка 38.6 °C более 3 суток", "SpO2 93%, ЧДД 22/мин"],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"argumentsAgainst": ["Нет данных о лейкоцитозе — ОАК не выполнен"],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"workup": ["КТ органов грудной клетки", "СРБ, ПКТ"],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"redFlags": ["SpO2 &lt; 92% — немедленная госпитализация"],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"clinrecCode": "601_2",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"sources": ["КР Минздрава РФ 601_2"]</w:t>
              <w:br/>
            </w:r>
            <w:r>
              <w:rPr>
                <w:rFonts w:ascii="Consolas" w:hAnsi="Consolas" w:eastAsia="Consolas"/>
                <w:sz w:val="16"/>
              </w:rPr>
              <w:t xml:space="preserve">  }],</w:t>
              <w:br/>
            </w:r>
            <w:r>
              <w:rPr>
                <w:rFonts w:ascii="Consolas" w:hAnsi="Consolas" w:eastAsia="Consolas"/>
                <w:sz w:val="16"/>
              </w:rPr>
              <w:t xml:space="preserve">  "workupPlan": [{</w:t>
              <w:br/>
            </w:r>
            <w:r>
              <w:rPr>
                <w:rFonts w:ascii="Consolas" w:hAnsi="Consolas" w:eastAsia="Consolas"/>
                <w:sz w:val="16"/>
              </w:rPr>
              <w:t xml:space="preserve">    "name": "СРБ, количественно",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"priority": "urgent",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"purpose": "Оценка системного воспаления и контроль ответа на АБТ",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"targetDxConfirm": ["Внебольничная пневмония справа, средней степени тяжести"],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"normalRange": "0–5 мг/л",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"confirmsIf": "СРБ &gt; 100 мг/л в сочетании с очагом на КТ",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"interpretation": "Снижение к 72 часам — критерий адекватной АБТ…",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"timing": "в течение 1 часа",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"preparation": "без подготовки"</w:t>
              <w:br/>
            </w:r>
            <w:r>
              <w:rPr>
                <w:rFonts w:ascii="Consolas" w:hAnsi="Consolas" w:eastAsia="Consolas"/>
                <w:sz w:val="16"/>
              </w:rPr>
              <w:t xml:space="preserve">  }],</w:t>
              <w:br/>
            </w:r>
            <w:r>
              <w:rPr>
                <w:rFonts w:ascii="Consolas" w:hAnsi="Consolas" w:eastAsia="Consolas"/>
                <w:sz w:val="16"/>
              </w:rPr>
              <w:t xml:space="preserve">  "therapyOptions": [{</w:t>
              <w:br/>
            </w:r>
            <w:r>
              <w:rPr>
                <w:rFonts w:ascii="Consolas" w:hAnsi="Consolas" w:eastAsia="Consolas"/>
                <w:sz w:val="16"/>
              </w:rPr>
              <w:t xml:space="preserve">    "name": "Амоксициллин + клавулановая кислота",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"regimen": "875/125 мг внутрь 2 раза в сутки 7 дней",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"evidenceLevel": "A",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"source": "КР Минздрава РФ 601_2",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"targetDx": "Внебольничная пневмония справа, средней степени тяжести",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"caution": "Аллергия на пенициллины — противопоказано"</w:t>
              <w:br/>
            </w:r>
            <w:r>
              <w:rPr>
                <w:rFonts w:ascii="Consolas" w:hAnsi="Consolas" w:eastAsia="Consolas"/>
                <w:sz w:val="16"/>
              </w:rPr>
              <w:t xml:space="preserve">  }],</w:t>
              <w:br/>
            </w:r>
            <w:r>
              <w:rPr>
                <w:rFonts w:ascii="Consolas" w:hAnsi="Consolas" w:eastAsia="Consolas"/>
                <w:sz w:val="16"/>
              </w:rPr>
              <w:t xml:space="preserve">  "monitoringPlan": [{"marker": "СРБ", "frequency": "через 48–72 часа",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      "target": "снижение ≥ 50%", "purpose": "Ответ на АБТ"}],</w:t>
              <w:br/>
            </w:r>
            <w:r>
              <w:rPr>
                <w:rFonts w:ascii="Consolas" w:hAnsi="Consolas" w:eastAsia="Consolas"/>
                <w:sz w:val="16"/>
              </w:rPr>
              <w:t xml:space="preserve">  "verification": {"performed": true, "passes": 1, "corrections": [], "factsGrounded": true},</w:t>
              <w:br/>
            </w:r>
            <w:r>
              <w:rPr>
                <w:rFonts w:ascii="Consolas" w:hAnsi="Consolas" w:eastAsia="Consolas"/>
                <w:sz w:val="16"/>
              </w:rPr>
              <w:t xml:space="preserve">  "confirmedDx": [],</w:t>
              <w:br/>
            </w:r>
            <w:r>
              <w:rPr>
                <w:rFonts w:ascii="Consolas" w:hAnsi="Consolas" w:eastAsia="Consolas"/>
                <w:sz w:val="16"/>
              </w:rPr>
              <w:t xml:space="preserve">  "workupTracker":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"срб количественно": {"status": "resulted", "resultValue": "112 мг/л",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          "updatedBy": "DOC-01", "updatedAt": "2026-10-25T09:15:00.000Z"}</w:t>
              <w:br/>
            </w:r>
            <w:r>
              <w:rPr>
                <w:rFonts w:ascii="Consolas" w:hAnsi="Consolas" w:eastAsia="Consolas"/>
                <w:sz w:val="16"/>
              </w:rPr>
              <w:t xml:space="preserve">  },</w:t>
              <w:br/>
            </w:r>
            <w:r>
              <w:rPr>
                <w:rFonts w:ascii="Consolas" w:hAnsi="Consolas" w:eastAsia="Consolas"/>
                <w:sz w:val="16"/>
              </w:rPr>
              <w:t xml:space="preserve">  "patientSafety": {"allergies": ["Пенициллины"], "age": 62, "renal": "Креатинин: 98 мкмоль/л"},</w:t>
              <w:br/>
            </w:r>
            <w:r>
              <w:rPr>
                <w:rFonts w:ascii="Consolas" w:hAnsi="Consolas" w:eastAsia="Consolas"/>
                <w:sz w:val="16"/>
              </w:rPr>
              <w:t xml:space="preserve">  "normalizationFixes": ["Объединён дубль исследования: «СРБ» + «СРБ, количественно»"]</w:t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>
      <w:pPr>
        <w:pStyle w:val="CaptionSmall"/>
      </w:pPr>
      <w:r>
        <w:t>Рис. 6.1. Сокращённый пример structured (v5.2)</w:t>
      </w:r>
    </w:p>
    <w:p>
      <w:pPr>
        <w:pStyle w:val="Heading2"/>
      </w:pPr>
      <w:r>
        <w:t>6.5. Версионирование анализа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1. </w:t>
      </w:r>
      <w:r>
        <w:rPr>
          <w:b w:val="0"/>
          <w:sz w:val="21"/>
        </w:rPr>
        <w:t>При первом анализе создаётся AnalysisResult с version = 1.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2. </w:t>
      </w:r>
      <w:r>
        <w:rPr>
          <w:b w:val="0"/>
          <w:sz w:val="21"/>
        </w:rPr>
        <w:t>При повторном анализе текущая строка целиком копируется в AnalysisVersion (snapshot).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3. </w:t>
      </w:r>
      <w:r>
        <w:rPr>
          <w:b w:val="0"/>
          <w:sz w:val="21"/>
        </w:rPr>
        <w:t>Основная строка перезаписывается новыми данными, version увеличивается на 1.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4. </w:t>
      </w:r>
      <w:r>
        <w:rPr>
          <w:b w:val="0"/>
          <w:sz w:val="21"/>
        </w:rPr>
        <w:t>Решения врача (confirmedDx, workupTracker) переносятся в новую версию, если соответствующие гипотезы и исследования сохранились.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5. </w:t>
      </w:r>
      <w:r>
        <w:rPr>
          <w:b w:val="0"/>
          <w:sz w:val="21"/>
        </w:rPr>
        <w:t>История доступна через GET /api/cases/[id]/analysis/versions и диалог «История версий».</w:t>
      </w:r>
    </w:p>
    <w:p>
      <w:pPr>
        <w:pStyle w:val="Heading2"/>
      </w:pPr>
      <w:r>
        <w:t>6.6. Справочники и демонстрационные данные</w:t>
      </w:r>
    </w:p>
    <w:p>
      <w:r>
        <w:t>Первичная инициализация (POST /api/auth/init) заполняет справочники и создаёт демонстрационного пациента и кейс. Фактические объёмы в текущей базе: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4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Справочник</w:t>
            </w:r>
          </w:p>
        </w:tc>
        <w:tc>
          <w:tcPr>
            <w:tcW w:type="dxa" w:w="283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Записей</w:t>
            </w:r>
          </w:p>
        </w:tc>
        <w:tc>
          <w:tcPr>
            <w:tcW w:type="dxa" w:w="362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Источник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МКБ-10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98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src/lib/seed/icd10-codes.ts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Клинические рекомендации</w:t>
            </w:r>
          </w:p>
        </w:tc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src/lib/seed/clinical-recommendations.ts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Лекарственные взаимодействия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src/lib/seed/drug-interactions.ts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Клинические пути</w:t>
            </w:r>
          </w:p>
        </w:tc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src/lib/seed/clinical-pathways.ts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Шаблоны отчётов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создаются администратором (POST /api/seed-templates)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Демо-данные</w:t>
            </w:r>
          </w:p>
        </w:tc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2 врача, 2 пациента, 2 кейса, 2 анализа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src/lib/seed/demo-patient.ts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tcBorders>
              <w:top w:val="single" w:sz="4" w:color="B45309"/>
              <w:bottom w:val="single" w:sz="4" w:color="B45309"/>
              <w:right w:val="single" w:sz="4" w:color="B45309"/>
              <w:left w:val="single" w:sz="18" w:color="B45309"/>
            </w:tcBorders>
            <w:shd w:val="clear" w:color="auto" w:fill="FFF7E6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9"/>
              </w:rPr>
              <w:t>Справочники демонстрационные и не заменяют промышленные. Перед клинической эксплуатацией их необходимо заменить/дополнить заверенными источниками организации.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6" w:color="14B8A6"/>
        </w:pBdr>
      </w:pPr>
      <w:r>
        <w:t>7. Программные интерфейсы (API)</w:t>
      </w:r>
    </w:p>
    <w:p>
      <w:pPr>
        <w:pStyle w:val="Heading2"/>
      </w:pPr>
      <w:r>
        <w:t>7.1. Общие принципы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</w:r>
      <w:r>
        <w:rPr>
          <w:b/>
          <w:sz w:val="21"/>
        </w:rPr>
        <w:t>Формат</w:t>
      </w:r>
      <w:r>
        <w:rPr>
          <w:b w:val="0"/>
          <w:sz w:val="21"/>
        </w:rPr>
        <w:t>: JSON (кроме скачивания файлов и PDF). Кодировка UTF-8.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</w:r>
      <w:r>
        <w:rPr>
          <w:b/>
          <w:sz w:val="21"/>
        </w:rPr>
        <w:t>Аутентификация</w:t>
      </w:r>
      <w:r>
        <w:rPr>
          <w:b w:val="0"/>
          <w:sz w:val="21"/>
        </w:rPr>
        <w:t>: JWT HS256 в HttpOnly cookie `token` либо заголовок `Authorization: Bearer …`.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</w:r>
      <w:r>
        <w:rPr>
          <w:b/>
          <w:sz w:val="21"/>
        </w:rPr>
        <w:t>Срок токена</w:t>
      </w:r>
      <w:r>
        <w:rPr>
          <w:b w:val="0"/>
          <w:sz w:val="21"/>
        </w:rPr>
        <w:t>: 2 часа; при остатке менее часа edge-прокси перевыпускает токен (скользящее продление).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</w:r>
      <w:r>
        <w:rPr>
          <w:b/>
          <w:sz w:val="21"/>
        </w:rPr>
        <w:t>Отзыв</w:t>
      </w:r>
      <w:r>
        <w:rPr>
          <w:b w:val="0"/>
          <w:sz w:val="21"/>
        </w:rPr>
        <w:t>: инкремент Doctor.tokenVersion делает ранее выданные токены недействительными.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</w:r>
      <w:r>
        <w:rPr>
          <w:b/>
          <w:sz w:val="21"/>
        </w:rPr>
        <w:t>Ошибки</w:t>
      </w:r>
      <w:r>
        <w:rPr>
          <w:b w:val="0"/>
          <w:sz w:val="21"/>
        </w:rPr>
        <w:t>: HTTP-код + JSON {"error": "...", "code": "..."}; коды CONSENT_MISSING, CONSENT_EXPIRED, RATE_LIMITED используются интерфейсом.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</w:r>
      <w:r>
        <w:rPr>
          <w:b/>
          <w:sz w:val="21"/>
        </w:rPr>
        <w:t>Ограничения</w:t>
      </w:r>
      <w:r>
        <w:rPr>
          <w:b w:val="0"/>
          <w:sz w:val="21"/>
        </w:rPr>
        <w:t>: 20 запросов/мин на IP для /api/auth, 300 запросов/мин на IP для остального API (in-memory, один экземпляр).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</w:r>
      <w:r>
        <w:rPr>
          <w:b/>
          <w:sz w:val="21"/>
        </w:rPr>
        <w:t>Доступ</w:t>
      </w:r>
      <w:r>
        <w:rPr>
          <w:b w:val="0"/>
          <w:sz w:val="21"/>
        </w:rPr>
        <w:t>: 401 без сессии, 403 при недостатке прав, 404 для недоступного объекта (не раскрывает существование чужих кейсов).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</w:r>
      <w:r>
        <w:rPr>
          <w:b/>
          <w:sz w:val="21"/>
        </w:rPr>
        <w:t>Валидация</w:t>
      </w:r>
      <w:r>
        <w:rPr>
          <w:b w:val="0"/>
          <w:sz w:val="21"/>
        </w:rPr>
        <w:t>: zod-схемы в src/lib/validation.ts; неизвестные поля отбрасываются.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tcBorders>
              <w:top w:val="single" w:sz="4" w:color="1D4ED8"/>
              <w:bottom w:val="single" w:sz="4" w:color="1D4ED8"/>
              <w:right w:val="single" w:sz="4" w:color="1D4ED8"/>
              <w:left w:val="single" w:sz="18" w:color="1D4ED8"/>
            </w:tcBorders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9"/>
              </w:rPr>
              <w:t>Полный перечень из 121 endpoint приведён в приложении A. Ниже — группы и ключевые контракты; для второстепенных маршрутов указано назначение без детализации тела запроса.</w:t>
            </w:r>
          </w:p>
        </w:tc>
      </w:tr>
    </w:tbl>
    <w:p>
      <w:pPr>
        <w:spacing w:after="40"/>
      </w:pPr>
    </w:p>
    <w:p>
      <w:pPr>
        <w:pStyle w:val="Heading2"/>
      </w:pPr>
      <w:r>
        <w:t>7.2. Аутентификация и инициализация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62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Метод и путь</w:t>
            </w:r>
          </w:p>
        </w:tc>
        <w:tc>
          <w:tcPr>
            <w:tcW w:type="dxa" w:w="419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170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Доступ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/api/auth/init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Проверка, нужна ли инициализация системы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публичный</w:t>
            </w:r>
          </w:p>
        </w:tc>
      </w:tr>
      <w:tr>
        <w:trPr>
          <w:cantSplit w:val="true"/>
        </w:trPr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POST /api/auth/init</w:t>
            </w:r>
          </w:p>
        </w:tc>
        <w:tc>
          <w:tcPr>
            <w:tcW w:type="dxa" w:w="419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Создать администратора с одноразовым паролем и заполнить справочники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публичный, только при отсутствии администратора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POST /api/auth?action=login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Вход по doctorCode и паролю; JWT в теле и cookie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публичный</w:t>
            </w:r>
          </w:p>
        </w:tc>
      </w:tr>
      <w:tr>
        <w:trPr>
          <w:cantSplit w:val="true"/>
        </w:trPr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POST /api/auth?action=register</w:t>
            </w:r>
          </w:p>
        </w:tc>
        <w:tc>
          <w:tcPr>
            <w:tcW w:type="dxa" w:w="419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Саморегистрация врача (если REGISTRATION_OPEN=true)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публичный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POST /api/auth?action=set-password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Смена пароля; инкремент tokenVersion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/api/auth</w:t>
            </w:r>
          </w:p>
        </w:tc>
        <w:tc>
          <w:tcPr>
            <w:tcW w:type="dxa" w:w="419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Проверка текущей сессии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GET/POST/PUT /api/auth/key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Регистрация и выдача ключевого материала E2EE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сессия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shd w:val="clear" w:color="auto" w:fill="F4F6F8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POST /api/auth?action=login</w:t>
              <w:br/>
            </w:r>
            <w:r>
              <w:rPr>
                <w:rFonts w:ascii="Consolas" w:hAnsi="Consolas" w:eastAsia="Consolas"/>
                <w:sz w:val="16"/>
              </w:rPr>
              <w:t>{ "doctorCode": "DOC-01", "password": "••••••••••" }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>200 OK</w:t>
              <w:br/>
            </w:r>
            <w:r>
              <w:rPr>
                <w:rFonts w:ascii="Consolas" w:hAnsi="Consolas" w:eastAsia="Consolas"/>
                <w:sz w:val="16"/>
              </w:rPr>
              <w:t>{ "token": "&lt;jwt&gt;", "doctor": { "id": "...", "doctorCode": "DOC-01", "role": "doctor" } }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>401 Unauthorized  → одинаковый ответ для «нет такого кода» и «неверный пароль»</w:t>
              <w:br/>
            </w:r>
            <w:r>
              <w:rPr>
                <w:rFonts w:ascii="Consolas" w:hAnsi="Consolas" w:eastAsia="Consolas"/>
                <w:sz w:val="16"/>
              </w:rPr>
              <w:t>423 / 429         → блокировка после 5 неудачных попыток либо rate limit</w:t>
            </w:r>
          </w:p>
        </w:tc>
      </w:tr>
    </w:tbl>
    <w:p>
      <w:pPr>
        <w:pStyle w:val="CaptionSmall"/>
      </w:pPr>
      <w:r>
        <w:t>Рис. 7.1. Пример входа</w:t>
      </w:r>
    </w:p>
    <w:p>
      <w:pPr>
        <w:pStyle w:val="Heading2"/>
      </w:pPr>
      <w:r>
        <w:t>7.3. Кейсы, документы, анализ и отчёты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969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Метод и путь</w:t>
            </w:r>
          </w:p>
        </w:tc>
        <w:tc>
          <w:tcPr>
            <w:tcW w:type="dxa" w:w="5556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/api/cases</w:t>
            </w:r>
          </w:p>
        </w:tc>
        <w:tc>
          <w:tcPr>
            <w:tcW w:type="dxa" w:w="555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Список кейсов с фильтрами и пагинацией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POST /api/cases</w:t>
            </w:r>
          </w:p>
        </w:tc>
        <w:tc>
          <w:tcPr>
            <w:tcW w:type="dxa" w:w="555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Создание кейса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/api/cases/[id]</w:t>
            </w:r>
          </w:p>
        </w:tc>
        <w:tc>
          <w:tcPr>
            <w:tcW w:type="dxa" w:w="555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Кейс с документами, анализом, отчётами, согласиями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PATCH /api/cases/[id]</w:t>
            </w:r>
          </w:p>
        </w:tc>
        <w:tc>
          <w:tcPr>
            <w:tcW w:type="dxa" w:w="555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Изменение метаданных кейса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DELETE /api/cases/[id]</w:t>
            </w:r>
          </w:p>
        </w:tc>
        <w:tc>
          <w:tcPr>
            <w:tcW w:type="dxa" w:w="555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Удаление кейса (владелец/админ)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 /api/cases/[id]/documents</w:t>
            </w:r>
          </w:p>
        </w:tc>
        <w:tc>
          <w:tcPr>
            <w:tcW w:type="dxa" w:w="555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Список и загрузка документов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GET/DELETE /api/cases/[id]/documents/[docId]</w:t>
            </w:r>
          </w:p>
        </w:tc>
        <w:tc>
          <w:tcPr>
            <w:tcW w:type="dxa" w:w="555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Скачивание (auth) и удаление документа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POST /api/cases/[id]/analyze</w:t>
            </w:r>
          </w:p>
        </w:tc>
        <w:tc>
          <w:tcPr>
            <w:tcW w:type="dxa" w:w="555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Запуск 10-шагового конвейера (требует consent ai_analysis)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/api/cases/[id]/analysis</w:t>
            </w:r>
          </w:p>
        </w:tc>
        <w:tc>
          <w:tcPr>
            <w:tcW w:type="dxa" w:w="555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Текущий результат анализа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PATCH /api/cases/[id]/analysis/control</w:t>
            </w:r>
          </w:p>
        </w:tc>
        <w:tc>
          <w:tcPr>
            <w:tcW w:type="dxa" w:w="555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Подтверждение диагноза, статус трекера, комментарии, правка заключения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/api/cases/[id]/analysis/versions</w:t>
            </w:r>
          </w:p>
        </w:tc>
        <w:tc>
          <w:tcPr>
            <w:tcW w:type="dxa" w:w="555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История версий анализа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 /api/cases/[id]/reports</w:t>
            </w:r>
          </w:p>
        </w:tc>
        <w:tc>
          <w:tcPr>
            <w:tcW w:type="dxa" w:w="555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Список и генерация отчёта (PDF)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POST /api/cases/[id]/therapy</w:t>
            </w:r>
          </w:p>
        </w:tc>
        <w:tc>
          <w:tcPr>
            <w:tcW w:type="dxa" w:w="555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Терапевтические рекомендации по кейсу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GET/POST/PATCH /api/cases/[id]/consents</w:t>
            </w:r>
          </w:p>
        </w:tc>
        <w:tc>
          <w:tcPr>
            <w:tcW w:type="dxa" w:w="555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Согласия пациента (в т.ч. ai_analysis)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GET/POST/DELETE /api/cases/[id]/share</w:t>
            </w:r>
          </w:p>
        </w:tc>
        <w:tc>
          <w:tcPr>
            <w:tcW w:type="dxa" w:w="555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Совместный доступ к кейсу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POST /api/cases/[id]/ddi-override</w:t>
            </w:r>
          </w:p>
        </w:tc>
        <w:tc>
          <w:tcPr>
            <w:tcW w:type="dxa" w:w="555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Обоснованное подтверждение взаимодействия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GET/PATCH/DELETE /api/reports/[id]</w:t>
            </w:r>
          </w:p>
        </w:tc>
        <w:tc>
          <w:tcPr>
            <w:tcW w:type="dxa" w:w="555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Отчёт: чтение, правка, удаление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POST /api/reports/[id]/sign</w:t>
            </w:r>
          </w:p>
        </w:tc>
        <w:tc>
          <w:tcPr>
            <w:tcW w:type="dxa" w:w="555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Электронная подпись отчёта</w:t>
            </w:r>
          </w:p>
        </w:tc>
      </w:tr>
    </w:tbl>
    <w:p>
      <w:pPr>
        <w:spacing w:after="40"/>
      </w:pPr>
    </w:p>
    <w:p>
      <w:pPr>
        <w:pStyle w:val="Heading3"/>
      </w:pPr>
      <w:r>
        <w:t>7.3.1. PATCH /api/cases/[id]/analysis/control</w:t>
      </w:r>
    </w:p>
    <w:p>
      <w:r>
        <w:t>Единая точка изменения результата анализа врачом. Поддерживает частичные обновления; каждое действие атрибутируется действующему врачу и попадает в аудит.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shd w:val="clear" w:color="auto" w:fill="F4F6F8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// Подтверждение диагноза (разблокирует терапию с этим targetDx)</w:t>
              <w:br/>
            </w:r>
            <w:r>
              <w:rPr>
                <w:rFonts w:ascii="Consolas" w:hAnsi="Consolas" w:eastAsia="Consolas"/>
                <w:sz w:val="16"/>
              </w:rPr>
              <w:t>{ "confirmDx": { "action": "confirm_dx", "diagnosis": "Внебольничная пневмония",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 "evidence": "КТ: инфильтрат S8 справа; СРБ 112 мг/л" } }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>// Статус трекера обследования</w:t>
              <w:br/>
            </w:r>
            <w:r>
              <w:rPr>
                <w:rFonts w:ascii="Consolas" w:hAnsi="Consolas" w:eastAsia="Consolas"/>
                <w:sz w:val="16"/>
              </w:rPr>
              <w:t>{ "workup": { "name": "СРБ, количественно", "status": "resulted",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"resultValue": "112 мг/л", "comment": "контроль через 48 ч" } }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>// Ручная правка заключения / веса / комментарии</w:t>
              <w:br/>
            </w:r>
            <w:r>
              <w:rPr>
                <w:rFonts w:ascii="Consolas" w:hAnsi="Consolas" w:eastAsia="Consolas"/>
                <w:sz w:val="16"/>
              </w:rPr>
              <w:t>{ "conclusion": "...", "controlWeights": { "diagnosis": 0.7 },</w:t>
              <w:br/>
            </w:r>
            <w:r>
              <w:rPr>
                <w:rFonts w:ascii="Consolas" w:hAnsi="Consolas" w:eastAsia="Consolas"/>
                <w:sz w:val="16"/>
              </w:rPr>
              <w:t xml:space="preserve">  "doctorComments": [{ "author": "DOC-01", "text": "...", "ts": "2026-10-25T09:00:00Z" }] }</w:t>
            </w:r>
          </w:p>
        </w:tc>
      </w:tr>
    </w:tbl>
    <w:p>
      <w:pPr>
        <w:pStyle w:val="CaptionSmall"/>
      </w:pPr>
      <w:r>
        <w:t>Рис. 7.2. Тело запроса control</w:t>
      </w:r>
    </w:p>
    <w:p>
      <w:r>
        <w:t>Ответ содержит актуальные controlWeights, doctorComments, conclusion и structured. Для workup сервер сам вычисляет ключ по названию (клиент не может записать произвольный ключ), сохраняет автора и время, пишет аудит workup_status_update.</w:t>
      </w:r>
    </w:p>
    <w:p>
      <w:pPr>
        <w:pStyle w:val="Heading2"/>
      </w:pPr>
      <w:r>
        <w:t>7.4. Электронная медицинская карта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453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Маршруты</w:t>
            </w:r>
          </w:p>
        </w:tc>
        <w:tc>
          <w:tcPr>
            <w:tcW w:type="dxa" w:w="306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Пациенты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 /api/patients; GET/PATCH/DELETE /api/patients/[id]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Список и карта пациента; поля enc:v1: расшифровываются в браузере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Визиты</w:t>
            </w:r>
          </w:p>
        </w:tc>
        <w:tc>
          <w:tcPr>
            <w:tcW w:type="dxa" w:w="45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 /api/patients/[id]/visits</w:t>
            </w:r>
          </w:p>
        </w:tc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Дневник визитов, SOAP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Витальные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 /api/patients/[id]/vitals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АД, ЧСС, SpO2, температура, антропометрия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Назначения</w:t>
            </w:r>
          </w:p>
        </w:tc>
        <w:tc>
          <w:tcPr>
            <w:tcW w:type="dxa" w:w="45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 /api/patients/[id]/medications</w:t>
            </w:r>
          </w:p>
        </w:tc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Активная и завершённая терапия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Лаборатория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 /api/patients/[id]/labs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Результаты, референсы, флаги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Проблемы и планы</w:t>
            </w:r>
          </w:p>
        </w:tc>
        <w:tc>
          <w:tcPr>
            <w:tcW w:type="dxa" w:w="45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 /api/patients/[id]/problems; /careplans</w:t>
            </w:r>
          </w:p>
        </w:tc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Проблемный лист, цели, вмешательства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Прививки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 /api/patients/[id]/immunizations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Вакцинация и ревакцинация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Обследования</w:t>
            </w:r>
          </w:p>
        </w:tc>
        <w:tc>
          <w:tcPr>
            <w:tcW w:type="dxa" w:w="45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 /api/patients/[id]/examinations; PATCH/DELETE /api/examinations/[id]</w:t>
            </w:r>
          </w:p>
        </w:tc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Инструментальные и лабораторные обследования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Доступ к карте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GET/POST/DELETE /api/patients/[id]/grants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Выдача/отзыв доступа (X25519, PDEK)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Сводки</w:t>
            </w:r>
          </w:p>
        </w:tc>
        <w:tc>
          <w:tcPr>
            <w:tcW w:type="dxa" w:w="45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/api/patients/[id]/health-score; /ddi-overview; /med-check</w:t>
            </w:r>
          </w:p>
        </w:tc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Индекс здоровья, взаимодействия, проверка терапии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Пакетно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/api/health-scores-batch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Индекс здоровья для списка пациентов</w:t>
            </w:r>
          </w:p>
        </w:tc>
      </w:tr>
    </w:tbl>
    <w:p>
      <w:pPr>
        <w:spacing w:after="40"/>
      </w:pPr>
    </w:p>
    <w:p>
      <w:pPr>
        <w:pStyle w:val="Heading2"/>
      </w:pPr>
      <w:r>
        <w:t>7.5. Знания, ИИ и справочники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082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Метод и путь</w:t>
            </w:r>
          </w:p>
        </w:tc>
        <w:tc>
          <w:tcPr>
            <w:tcW w:type="dxa" w:w="5443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408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/api/knowledge</w:t>
            </w:r>
          </w:p>
        </w:tc>
        <w:tc>
          <w:tcPr>
            <w:tcW w:type="dxa" w:w="5443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Поиск по базе знаний (документы + рекомендации)</w:t>
            </w:r>
          </w:p>
        </w:tc>
      </w:tr>
      <w:tr>
        <w:trPr>
          <w:cantSplit w:val="true"/>
        </w:trPr>
        <w:tc>
          <w:tcPr>
            <w:tcW w:type="dxa" w:w="408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GET/DELETE /api/knowledge/documents[/id]</w:t>
            </w:r>
          </w:p>
        </w:tc>
        <w:tc>
          <w:tcPr>
            <w:tcW w:type="dxa" w:w="54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Загруженные документы знаний и их извлечённый текст</w:t>
            </w:r>
          </w:p>
        </w:tc>
      </w:tr>
      <w:tr>
        <w:trPr>
          <w:cantSplit w:val="true"/>
        </w:trPr>
        <w:tc>
          <w:tcPr>
            <w:tcW w:type="dxa" w:w="408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/api/minzdrav/clinrecs</w:t>
            </w:r>
          </w:p>
        </w:tc>
        <w:tc>
          <w:tcPr>
            <w:tcW w:type="dxa" w:w="5443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Поиск КР Минздрава по теме/МКБ</w:t>
            </w:r>
          </w:p>
        </w:tc>
      </w:tr>
      <w:tr>
        <w:trPr>
          <w:cantSplit w:val="true"/>
        </w:trPr>
        <w:tc>
          <w:tcPr>
            <w:tcW w:type="dxa" w:w="408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/api/minzdrav/clinrecs/[codeVersion]</w:t>
            </w:r>
          </w:p>
        </w:tc>
        <w:tc>
          <w:tcPr>
            <w:tcW w:type="dxa" w:w="54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Полный текст КР по коду и версии</w:t>
            </w:r>
          </w:p>
        </w:tc>
      </w:tr>
      <w:tr>
        <w:trPr>
          <w:cantSplit w:val="true"/>
        </w:trPr>
        <w:tc>
          <w:tcPr>
            <w:tcW w:type="dxa" w:w="408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/api/minzdrav/mkb</w:t>
            </w:r>
          </w:p>
        </w:tc>
        <w:tc>
          <w:tcPr>
            <w:tcW w:type="dxa" w:w="5443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Справочник МКБ-10 из репозитория</w:t>
            </w:r>
          </w:p>
        </w:tc>
      </w:tr>
      <w:tr>
        <w:trPr>
          <w:cantSplit w:val="true"/>
        </w:trPr>
        <w:tc>
          <w:tcPr>
            <w:tcW w:type="dxa" w:w="408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 /api/web-rag</w:t>
            </w:r>
          </w:p>
        </w:tc>
        <w:tc>
          <w:tcPr>
            <w:tcW w:type="dxa" w:w="54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Сборка контекста из КР + международных источников</w:t>
            </w:r>
          </w:p>
        </w:tc>
      </w:tr>
      <w:tr>
        <w:trPr>
          <w:cantSplit w:val="true"/>
        </w:trPr>
        <w:tc>
          <w:tcPr>
            <w:tcW w:type="dxa" w:w="408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/api/icd10; POST /api/icd10</w:t>
            </w:r>
          </w:p>
        </w:tc>
        <w:tc>
          <w:tcPr>
            <w:tcW w:type="dxa" w:w="5443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Поиск кодов и сохранение выбранного кода</w:t>
            </w:r>
          </w:p>
        </w:tc>
      </w:tr>
      <w:tr>
        <w:trPr>
          <w:cantSplit w:val="true"/>
        </w:trPr>
        <w:tc>
          <w:tcPr>
            <w:tcW w:type="dxa" w:w="408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/api/pathways; POST /api/pathways</w:t>
            </w:r>
          </w:p>
        </w:tc>
        <w:tc>
          <w:tcPr>
            <w:tcW w:type="dxa" w:w="54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Клинические пути и их сопоставление</w:t>
            </w:r>
          </w:p>
        </w:tc>
      </w:tr>
      <w:tr>
        <w:trPr>
          <w:cantSplit w:val="true"/>
        </w:trPr>
        <w:tc>
          <w:tcPr>
            <w:tcW w:type="dxa" w:w="408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/api/recommendations</w:t>
            </w:r>
          </w:p>
        </w:tc>
        <w:tc>
          <w:tcPr>
            <w:tcW w:type="dxa" w:w="5443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Локальные клинические рекомендации</w:t>
            </w:r>
          </w:p>
        </w:tc>
      </w:tr>
      <w:tr>
        <w:trPr>
          <w:cantSplit w:val="true"/>
        </w:trPr>
        <w:tc>
          <w:tcPr>
            <w:tcW w:type="dxa" w:w="408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 /api/ddi; POST /api/ddi/stream</w:t>
            </w:r>
          </w:p>
        </w:tc>
        <w:tc>
          <w:tcPr>
            <w:tcW w:type="dxa" w:w="54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Проверка взаимодействий (обычная и потоковая)</w:t>
            </w:r>
          </w:p>
        </w:tc>
      </w:tr>
      <w:tr>
        <w:trPr>
          <w:cantSplit w:val="true"/>
        </w:trPr>
        <w:tc>
          <w:tcPr>
            <w:tcW w:type="dxa" w:w="408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 /api/ner</w:t>
            </w:r>
          </w:p>
        </w:tc>
        <w:tc>
          <w:tcPr>
            <w:tcW w:type="dxa" w:w="5443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Де-идентификация текста (локально)</w:t>
            </w:r>
          </w:p>
        </w:tc>
      </w:tr>
      <w:tr>
        <w:trPr>
          <w:cantSplit w:val="true"/>
        </w:trPr>
        <w:tc>
          <w:tcPr>
            <w:tcW w:type="dxa" w:w="408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POST /api/ai/chat, /api/ai/differential-diagnosis, /api/ai/drug-check, /api/ai/lab-interpretation</w:t>
            </w:r>
          </w:p>
        </w:tc>
        <w:tc>
          <w:tcPr>
            <w:tcW w:type="dxa" w:w="54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Вспомогательные ИИ-функции вне полного конвейера</w:t>
            </w:r>
          </w:p>
        </w:tc>
      </w:tr>
      <w:tr>
        <w:trPr>
          <w:cantSplit w:val="true"/>
        </w:trPr>
        <w:tc>
          <w:tcPr>
            <w:tcW w:type="dxa" w:w="408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/api/clinical-reminders</w:t>
            </w:r>
          </w:p>
        </w:tc>
        <w:tc>
          <w:tcPr>
            <w:tcW w:type="dxa" w:w="5443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Клинические напоминания по пациенту/кейсу</w:t>
            </w:r>
          </w:p>
        </w:tc>
      </w:tr>
    </w:tbl>
    <w:p>
      <w:pPr>
        <w:spacing w:after="40"/>
      </w:pPr>
    </w:p>
    <w:p>
      <w:pPr>
        <w:pStyle w:val="Heading2"/>
      </w:pPr>
      <w:r>
        <w:t>7.6. Администрирование и служебные маршруты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419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Метод и путь</w:t>
            </w:r>
          </w:p>
        </w:tc>
        <w:tc>
          <w:tcPr>
            <w:tcW w:type="dxa" w:w="362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1587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Доступ</w:t>
            </w:r>
          </w:p>
        </w:tc>
      </w:tr>
      <w:tr>
        <w:trPr>
          <w:cantSplit w:val="true"/>
        </w:trPr>
        <w:tc>
          <w:tcPr>
            <w:tcW w:type="dxa" w:w="419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 /api/doctors; GET/PATCH/DELETE /api/doctors/[id]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Управление врачами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чтение — сессия, изменения — админ</w:t>
            </w:r>
          </w:p>
        </w:tc>
      </w:tr>
      <w:tr>
        <w:trPr>
          <w:cantSplit w:val="true"/>
        </w:trPr>
        <w:tc>
          <w:tcPr>
            <w:tcW w:type="dxa" w:w="419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/api/audit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Журнал аудита с фильтрами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админ</w:t>
            </w:r>
          </w:p>
        </w:tc>
      </w:tr>
      <w:tr>
        <w:trPr>
          <w:cantSplit w:val="true"/>
        </w:trPr>
        <w:tc>
          <w:tcPr>
            <w:tcW w:type="dxa" w:w="419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/api/audit/verify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Проверка хеш-цепочки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админ</w:t>
            </w:r>
          </w:p>
        </w:tc>
      </w:tr>
      <w:tr>
        <w:trPr>
          <w:cantSplit w:val="true"/>
        </w:trPr>
        <w:tc>
          <w:tcPr>
            <w:tcW w:type="dxa" w:w="419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/api/audit/export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Экспорт журнала (JSON/CSV)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админ</w:t>
            </w:r>
          </w:p>
        </w:tc>
      </w:tr>
      <w:tr>
        <w:trPr>
          <w:cantSplit w:val="true"/>
        </w:trPr>
        <w:tc>
          <w:tcPr>
            <w:tcW w:type="dxa" w:w="419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GET/DELETE /api/logs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Системные логи, очистка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админ</w:t>
            </w:r>
          </w:p>
        </w:tc>
      </w:tr>
      <w:tr>
        <w:trPr>
          <w:cantSplit w:val="true"/>
        </w:trPr>
        <w:tc>
          <w:tcPr>
            <w:tcW w:type="dxa" w:w="419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 /api/backup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Резервная копия и восстановление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админ</w:t>
            </w:r>
          </w:p>
        </w:tc>
      </w:tr>
      <w:tr>
        <w:trPr>
          <w:cantSplit w:val="true"/>
        </w:trPr>
        <w:tc>
          <w:tcPr>
            <w:tcW w:type="dxa" w:w="419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 /api/encryption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Состояние и шифрование файлов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админ</w:t>
            </w:r>
          </w:p>
        </w:tc>
      </w:tr>
      <w:tr>
        <w:trPr>
          <w:cantSplit w:val="true"/>
        </w:trPr>
        <w:tc>
          <w:tcPr>
            <w:tcW w:type="dxa" w:w="419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POST /api/seed; POST /api/seed-templates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Демо-данные и шаблоны отчётов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админ</w:t>
            </w:r>
          </w:p>
        </w:tc>
      </w:tr>
      <w:tr>
        <w:trPr>
          <w:cantSplit w:val="true"/>
        </w:trPr>
        <w:tc>
          <w:tcPr>
            <w:tcW w:type="dxa" w:w="419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 /api/templates; GET/PATCH/DELETE /api/templates/[id]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Шаблоны отчётов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POST/PATCH/DELETE — админ</w:t>
            </w:r>
          </w:p>
        </w:tc>
      </w:tr>
      <w:tr>
        <w:trPr>
          <w:cantSplit w:val="true"/>
        </w:trPr>
        <w:tc>
          <w:tcPr>
            <w:tcW w:type="dxa" w:w="419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/api/analytics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Агрегированная аналитика по кейсам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419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/api/search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Глобальный поиск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419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GET/DELETE /api/notifications; PATCH/DELETE /api/notifications/[id]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Уведомления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419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/api/health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Состояние БД, ИИ, хранилища, RAG, DDI, сети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публичный</w:t>
            </w:r>
          </w:p>
        </w:tc>
      </w:tr>
      <w:tr>
        <w:trPr>
          <w:cantSplit w:val="true"/>
        </w:trPr>
        <w:tc>
          <w:tcPr>
            <w:tcW w:type="dxa" w:w="419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GET/POST /api/network/status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Состояние сети и запуск проверки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публичный</w:t>
            </w:r>
          </w:p>
        </w:tc>
      </w:tr>
      <w:tr>
        <w:trPr>
          <w:cantSplit w:val="true"/>
        </w:trPr>
        <w:tc>
          <w:tcPr>
            <w:tcW w:type="dxa" w:w="419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GET /api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Служебная информация о сервисе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публичный</w:t>
            </w:r>
          </w:p>
        </w:tc>
      </w:tr>
    </w:tbl>
    <w:p>
      <w:pPr>
        <w:spacing w:after="40"/>
      </w:pPr>
    </w:p>
    <w:p>
      <w:pPr>
        <w:pStyle w:val="Heading2"/>
      </w:pPr>
      <w:r>
        <w:t>7.7. Формат ошибок и коды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shd w:val="clear" w:color="auto" w:fill="F4F6F8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400 { "error": "Validation error: ..." }</w:t>
              <w:br/>
            </w:r>
            <w:r>
              <w:rPr>
                <w:rFonts w:ascii="Consolas" w:hAnsi="Consolas" w:eastAsia="Consolas"/>
                <w:sz w:val="16"/>
              </w:rPr>
              <w:t>401 { "error": "Authentication required" }</w:t>
              <w:br/>
            </w:r>
            <w:r>
              <w:rPr>
                <w:rFonts w:ascii="Consolas" w:hAnsi="Consolas" w:eastAsia="Consolas"/>
                <w:sz w:val="16"/>
              </w:rPr>
              <w:t>403 { "error": "You are not authorized to analyze this case" }</w:t>
              <w:br/>
            </w:r>
            <w:r>
              <w:rPr>
                <w:rFonts w:ascii="Consolas" w:hAnsi="Consolas" w:eastAsia="Consolas"/>
                <w:sz w:val="16"/>
              </w:rPr>
              <w:t>403 { "error": "...", "errorCode": "CONSENT_MISSING", "consentType": "ai_analysis" }</w:t>
              <w:br/>
            </w:r>
            <w:r>
              <w:rPr>
                <w:rFonts w:ascii="Consolas" w:hAnsi="Consolas" w:eastAsia="Consolas"/>
                <w:sz w:val="16"/>
              </w:rPr>
              <w:t>403 { "error": "...", "errorCode": "CONSENT_EXPIRED", "expiredAt": "2026-01-01T00:00:00Z" }</w:t>
              <w:br/>
            </w:r>
            <w:r>
              <w:rPr>
                <w:rFonts w:ascii="Consolas" w:hAnsi="Consolas" w:eastAsia="Consolas"/>
                <w:sz w:val="16"/>
              </w:rPr>
              <w:t>404 { "error": "Case not found" }</w:t>
              <w:br/>
            </w:r>
            <w:r>
              <w:rPr>
                <w:rFonts w:ascii="Consolas" w:hAnsi="Consolas" w:eastAsia="Consolas"/>
                <w:sz w:val="16"/>
              </w:rPr>
              <w:t>429 { "error": "Too many requests", "code": "RATE_LIMITED" }</w:t>
              <w:br/>
            </w:r>
            <w:r>
              <w:rPr>
                <w:rFonts w:ascii="Consolas" w:hAnsi="Consolas" w:eastAsia="Consolas"/>
                <w:sz w:val="16"/>
              </w:rPr>
              <w:t>500 { "error": "Анализ не удалось завершить: ...", "caseId": "..." }</w:t>
              <w:br/>
            </w:r>
            <w:r>
              <w:rPr>
                <w:rFonts w:ascii="Consolas" w:hAnsi="Consolas" w:eastAsia="Consolas"/>
                <w:sz w:val="16"/>
              </w:rPr>
              <w:t>503 — секрет JWT отсутствует/скомпрометирован (fail-closed на edge)</w:t>
            </w:r>
          </w:p>
        </w:tc>
      </w:tr>
    </w:tbl>
    <w:p>
      <w:pPr>
        <w:pStyle w:val="CaptionSmall"/>
      </w:pPr>
      <w:r>
        <w:t>Рис. 7.3. Форматы ответов об ошибках</w:t>
      </w:r>
    </w:p>
    <w:p>
      <w:pPr>
        <w:pStyle w:val="Heading1"/>
        <w:pageBreakBefore/>
        <w:pBdr>
          <w:bottom w:val="single" w:sz="8" w:space="6" w:color="14B8A6"/>
        </w:pBdr>
      </w:pPr>
      <w:r>
        <w:t>8. ИИ-конвейер анализа</w:t>
      </w:r>
    </w:p>
    <w:p>
      <w:pPr>
        <w:pStyle w:val="Heading2"/>
      </w:pPr>
      <w:r>
        <w:t>8.1. Общая схема</w:t>
      </w:r>
    </w:p>
    <w:p>
      <w:r>
        <w:t>Конвейер запускается POST /api/cases/[id]/analyze и выполняет 10 шагов, каждый из которых изолирован обработкой ошибок. Результат сохраняется одной транзакцией с новой версией.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56000" cy="7137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137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Рис. 8.1. Шаги конвейера и детерминированная пост-обработка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283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Модуль</w:t>
            </w:r>
          </w:p>
        </w:tc>
        <w:tc>
          <w:tcPr>
            <w:tcW w:type="dxa" w:w="5896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analyze/route.ts</w:t>
            </w:r>
          </w:p>
        </w:tc>
        <w:tc>
          <w:tcPr>
            <w:tcW w:type="dxa" w:w="589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Аутентификация, проверка владельца/админа, согласие ai_analysis и его срок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file-parsers.ts</w:t>
            </w:r>
          </w:p>
        </w:tc>
        <w:tc>
          <w:tcPr>
            <w:tcW w:type="dxa" w:w="589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NER выписок: сущности, мутации, краткое резюме; цитаты для XAI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file-parsers.ts</w:t>
            </w:r>
          </w:p>
        </w:tc>
        <w:tc>
          <w:tcPr>
            <w:tcW w:type="dxa" w:w="589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Интерпретация генетических вариантов (VCF/отчёт)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file-parsers.ts</w:t>
            </w:r>
          </w:p>
        </w:tc>
        <w:tc>
          <w:tcPr>
            <w:tcW w:type="dxa" w:w="589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VLM-анализ изображений: описание, область интереса, измерения, подозрение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rag.ts + minzdrav-rag.ts</w:t>
            </w:r>
          </w:p>
        </w:tc>
        <w:tc>
          <w:tcPr>
            <w:tcW w:type="dxa" w:w="589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Поиск КР по теме, загрузка полных текстов, фрагменты, ранжирование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web-rag.ts + international-rag.ts</w:t>
            </w:r>
          </w:p>
        </w:tc>
        <w:tc>
          <w:tcPr>
            <w:tcW w:type="dxa" w:w="589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PubMed/NLM и доверенные домены; приоритет КР Минздрава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rag.ts</w:t>
            </w:r>
          </w:p>
        </w:tc>
        <w:tc>
          <w:tcPr>
            <w:tcW w:type="dxa" w:w="589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Фармакогеномные предупреждения по выявленным мутациям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ddi-online.ts</w:t>
            </w:r>
          </w:p>
        </w:tc>
        <w:tc>
          <w:tcPr>
            <w:tcW w:type="dxa" w:w="589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Локальная таблица + потоковый онлайн-поиск взаимодействий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rag.ts</w:t>
            </w:r>
          </w:p>
        </w:tc>
        <w:tc>
          <w:tcPr>
            <w:tcW w:type="dxa" w:w="589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Коды МКБ-10, клинические пути, сверка с репозиторием КР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ai-service.ts</w:t>
            </w:r>
          </w:p>
        </w:tc>
        <w:tc>
          <w:tcPr>
            <w:tcW w:type="dxa" w:w="589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Генерация заключения по жёсткому каркасу (см. 8.6)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analyze/route.ts</w:t>
            </w:r>
          </w:p>
        </w:tc>
        <w:tc>
          <w:tcPr>
            <w:tcW w:type="dxa" w:w="589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Самопроверка, структуризация JSON, нормализация, перенос решений врача, аудит</w:t>
            </w:r>
          </w:p>
        </w:tc>
      </w:tr>
    </w:tbl>
    <w:p>
      <w:pPr>
        <w:spacing w:after="40"/>
      </w:pPr>
    </w:p>
    <w:p>
      <w:pPr>
        <w:pStyle w:val="Heading2"/>
      </w:pPr>
      <w:r>
        <w:t>8.2. Шаг 0: согласие и доступ</w:t>
      </w:r>
    </w:p>
    <w:p>
      <w:r>
        <w:t>Без действующего согласия ai_analysis конвейер возвращает 403 с errorCode CONSENT_MISSING или CONSENT_EXPIRED. Проверка выполняется до любых обращений к модели. Ручной режим (manual=true) фиксируется в аудите, но не обрабатывает данные ИИ.</w:t>
      </w:r>
    </w:p>
    <w:p>
      <w:pPr>
        <w:pStyle w:val="Heading2"/>
      </w:pPr>
      <w:r>
        <w:t>8.3. Шаги 1–3: документы, генетика, изображения</w:t>
      </w:r>
    </w:p>
    <w:p>
      <w:r>
        <w:t>Выписки проходят локальную де-идентификацию и затем извлекаются сущности. Для длинных текстов используется map-reduce: chunkText (≈2000 символов, перекрытие 200, конкурентность 2) и mapReduceLLM — это снижает потери фактов на моделях с малым контекстом.</w:t>
      </w:r>
    </w:p>
    <w:p>
      <w:r>
        <w:t>Генетические варианты нормализуются к строгому union клинической значимости (pathogenic, likely_pathogenic, vus, likely_benign, benign). Для изображений применяется визуально-языковая модель; результат сохраняется с уровнем подозрения и измерениями.</w:t>
      </w:r>
    </w:p>
    <w:p>
      <w:pPr>
        <w:pStyle w:val="Heading2"/>
      </w:pPr>
      <w:r>
        <w:t>8.4. Шаги 4–5: RAG по клиническим рекомендациям</w:t>
      </w:r>
    </w:p>
    <w:p>
      <w:pPr>
        <w:pStyle w:val="Heading3"/>
      </w:pPr>
      <w:r>
        <w:t>8.4.1. КР Минздрава РФ</w:t>
      </w:r>
    </w:p>
    <w:p>
      <w:r>
        <w:t>Модуль minzdrav-rag.ts реализует topic-driven RAG: поиск КР по теме (полный запрос → отдельные термины → фильтр по МКБ-10), загрузку ПОЛНЫХ текстов (включая разделы «Лечение», «Алгоритмы действий врача», «Шкалы») и нарезку на фрагменты ≈900 символов с ранжированием по покрытию терминов и типу раздела. Модель получает только релевантные фрагменты с указанием кода и версии КР.</w:t>
      </w:r>
    </w:p>
    <w:p>
      <w:pPr>
        <w:pStyle w:val="Heading3"/>
      </w:pPr>
      <w:r>
        <w:t>8.4.2. Международные источники</w:t>
      </w:r>
    </w:p>
    <w:p>
      <w:r>
        <w:t>international-rag.ts обращается к PubMed E-utilities (esearch/esummary/efetch) и к поиску, ограниченному доменами who.int, nice.org.uk, cochrane.org, cdc.gov, escardio.org, ema.europa.eu, ncbi.nlm.nih.gov/books, nccn.org. Запрос переводится в англоязычное терминологическое ядро, результаты кэшируются в памяти на 6 часов. Приоритет в синтезе остаётся за КР Минздрава.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294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По умолчанию</w:t>
            </w:r>
          </w:p>
        </w:tc>
        <w:tc>
          <w:tcPr>
            <w:tcW w:type="dxa" w:w="362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Переменная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Максимум результатов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INTL_RAG_MAX_RESULTS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Тайм-аут запроса</w:t>
            </w:r>
          </w:p>
        </w:tc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12 000 мс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INTL_RAG_TIMEOUT_MS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Включение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INTL_RAG_ENABLED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Кэш КР Минздрава</w:t>
            </w:r>
          </w:p>
        </w:tc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persistent (MinzdravCache)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MINZDRAV_CR_ENABLED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Кэш web-RAG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настраиваемый TTL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WEB_RAG_CACHE_TTL_MS</w:t>
            </w:r>
          </w:p>
        </w:tc>
      </w:tr>
    </w:tbl>
    <w:p>
      <w:pPr>
        <w:spacing w:after="40"/>
      </w:pPr>
    </w:p>
    <w:p>
      <w:pPr>
        <w:pStyle w:val="Heading2"/>
      </w:pPr>
      <w:r>
        <w:t>8.5. Шаги 6–8: фармакогеномика, DDI, МКБ-10 и пути</w:t>
      </w:r>
    </w:p>
    <w:p>
      <w:r>
        <w:t>Фармакогеномные предупреждения связывают выявленные варианты (например, CYP2D6, DPYD) с предложенной терапией. DDI-проверка сначала использует локальную таблицу (быстрые алерты), затем выполняет потоковый онлайн-поиск по РЛС/Видаль/ГРЛС с LLM-извлечением severity, механизма и тактики; результат кэшируется в DdiOnlineCache. Коды МКБ-10 и клинические пути подбираются по диагнозу и ключевым признакам.</w:t>
      </w:r>
    </w:p>
    <w:p>
      <w:pPr>
        <w:pStyle w:val="Heading2"/>
      </w:pPr>
      <w:r>
        <w:t>8.6. Шаг 9: генерация заключения</w:t>
      </w:r>
    </w:p>
    <w:p>
      <w:r>
        <w:t>Системный промпт задаёт роль «виртуального консилиума» и жёсткий каркас из восьми разделов. Адресат — врач, поэтому запрещены уклончивость и цензурные оговорки, но действуют жёсткие правила фактов.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51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Раздел промпта</w:t>
            </w:r>
          </w:p>
        </w:tc>
        <w:tc>
          <w:tcPr>
            <w:tcW w:type="dxa" w:w="5896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КЛИНИЧЕСКАЯ КАРТИНА</w:t>
            </w:r>
          </w:p>
        </w:tc>
        <w:tc>
          <w:tcPr>
            <w:tcW w:type="dxa" w:w="589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Только факты из документов; отдельно «данных не хватает»</w:t>
            </w:r>
          </w:p>
        </w:tc>
      </w:tr>
      <w:tr>
        <w:trPr>
          <w:cantSplit w:val="true"/>
        </w:trPr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ДИФФЕРЕНЦИАЛЬНЫЙ ДИАГНОЗ</w:t>
            </w:r>
          </w:p>
        </w:tc>
        <w:tc>
          <w:tcPr>
            <w:tcW w:type="dxa" w:w="589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3–5 гипотез, аргументы за/против, вероятность, красные флаги, «чем различить»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НЕОБХОДИМОЕ ДОПОЛНИТЕЛЬНОЕ ОБСЛЕДОВАНИЕ</w:t>
            </w:r>
          </w:p>
        </w:tc>
        <w:tc>
          <w:tcPr>
            <w:tcW w:type="dxa" w:w="589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Один буллит на тест: приоритет, срок, подготовка, подтверждает/исключает, ожидаемый результат, норма, критерии</w:t>
            </w:r>
          </w:p>
        </w:tc>
      </w:tr>
      <w:tr>
        <w:trPr>
          <w:cantSplit w:val="true"/>
        </w:trPr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ТЕРАПЕВТИЧЕСКИЕ ОПЦИИ ПОСЛЕ ПОДТВЕРЖДЕНИЯ</w:t>
            </w:r>
          </w:p>
        </w:tc>
        <w:tc>
          <w:tcPr>
            <w:tcW w:type="dxa" w:w="589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Привязка к гипотезе, МНН, доза, путь, кратность, длительность, доказательность, источник, предупреждения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МАРКЕРЫ И МОНИТОРИНГ</w:t>
            </w:r>
          </w:p>
        </w:tc>
        <w:tc>
          <w:tcPr>
            <w:tcW w:type="dxa" w:w="589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Показатель — цель — частота</w:t>
            </w:r>
          </w:p>
        </w:tc>
      </w:tr>
      <w:tr>
        <w:trPr>
          <w:cantSplit w:val="true"/>
        </w:trPr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ЛЕКАРСТВЕННЫЕ ВЗАИМОДЕЙСТВИЯ</w:t>
            </w:r>
          </w:p>
        </w:tc>
        <w:tc>
          <w:tcPr>
            <w:tcW w:type="dxa" w:w="589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Выявленные DDI и тактика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КЛИНИЧЕСКИЕ ПУТИ</w:t>
            </w:r>
          </w:p>
        </w:tc>
        <w:tc>
          <w:tcPr>
            <w:tcW w:type="dxa" w:w="589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Соответствие протоколам</w:t>
            </w:r>
          </w:p>
        </w:tc>
      </w:tr>
      <w:tr>
        <w:trPr>
          <w:cantSplit w:val="true"/>
        </w:trPr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РЕЗЮМЕ и УВЕРЕННОСТЬ</w:t>
            </w:r>
          </w:p>
        </w:tc>
        <w:tc>
          <w:tcPr>
            <w:tcW w:type="dxa" w:w="589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Краткое резюме и самооценка diagnosis/therapy/prognosis/overall</w:t>
            </w:r>
          </w:p>
        </w:tc>
      </w:tr>
    </w:tbl>
    <w:p>
      <w:pPr>
        <w:spacing w:after="40"/>
      </w:pPr>
    </w:p>
    <w:p>
      <w:r>
        <w:t>Ключевые требования к качеству, зашитые в промпт: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вероятности строго убывают, сумма ≤ 100%;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минимум два аргумента «за» и один «против» на гипотезу;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каждая гипотеза проверяема: тест на подтверждение и тест на исключение;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один тест — один пункт плана, без дублей;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не включать исследования, не меняющие тактику;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доза с единицами обязательна, при зависимости от веса/почек — формула и порог;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сверка с аллергиями и постоянной терапией из EMR;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для красных флагов — немедленные действия;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не выдумывать коды КР и МКБ-10.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06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294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3402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Переменная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Максимум токенов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8192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AI_MAX_TOKENS_ANALYSIS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Температура</w:t>
            </w:r>
          </w:p>
        </w:tc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0.2</w:t>
            </w:r>
          </w:p>
        </w:tc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AI_TEMPERATURE_ANALYSIS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Проходы самопроверки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AI_SELF_VERIFY_PASSES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Глубокий анализ</w:t>
            </w:r>
          </w:p>
        </w:tc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включён</w:t>
            </w:r>
          </w:p>
        </w:tc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AI_DEEP_ANALYSIS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Тайм-аут LLM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600 000 мс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LM_STUDIO_TIMEOUT_MS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Idle-тайм-аут streaming</w:t>
            </w:r>
          </w:p>
        </w:tc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180 000 мс</w:t>
            </w:r>
          </w:p>
        </w:tc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LM_STUDIO_IDLE_TIMEOUT_MS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Повторы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LM_STUDIO_MAX_RETRIES</w:t>
            </w:r>
          </w:p>
        </w:tc>
      </w:tr>
    </w:tbl>
    <w:p>
      <w:pPr>
        <w:spacing w:after="40"/>
      </w:pPr>
    </w:p>
    <w:p>
      <w:pPr>
        <w:pStyle w:val="Heading2"/>
      </w:pPr>
      <w:r>
        <w:t>8.7. Шаг 10: самопроверка</w:t>
      </w:r>
    </w:p>
    <w:p>
      <w:r>
        <w:t>Черновик заключения отправляется модели повторно с задачей аудита: проверить факты против исходных данных, полноту дифференциального ряда, преждевременность терапии, дозы, источники и «воду». Возвращается исправленная версия и отчёт исправлений, который сохраняется в structured.verification.corrections и показывается врачу. Флаг factsGrounded выставляется, если расхождений не найдено.</w:t>
      </w:r>
    </w:p>
    <w:p>
      <w:pPr>
        <w:pStyle w:val="Heading2"/>
      </w:pPr>
      <w:r>
        <w:t>8.8. Структуризация заключения</w:t>
      </w:r>
    </w:p>
    <w:p>
      <w:r>
        <w:t>Текст заключения преобразуется в строгий JSON отдельным проходом модели (structured-extraction.ts): температура 0.1, до 5120 токенов, вход до 16 000 символов. Ответ валидируется zod-схемой и нормализуется: ранги, вероятности, массивы, обрезка мусорных значений. При неудаче используется эвристический разбор секций (parseStructuredFromText), поэтому структура появляется даже при сбое JSON-прохода.</w:t>
      </w:r>
    </w:p>
    <w:p>
      <w:pPr>
        <w:pStyle w:val="Heading2"/>
      </w:pPr>
      <w:r>
        <w:t>8.9. Пост-обработка v5.2 (детерминированная)</w:t>
      </w:r>
    </w:p>
    <w:p>
      <w:pPr>
        <w:pStyle w:val="Heading3"/>
      </w:pPr>
      <w:r>
        <w:t>8.9.1. Нормализация структуры</w:t>
      </w:r>
    </w:p>
    <w:p>
      <w:r>
        <w:t>sanitizeClinicalStructure приводит структуру в рабочее состояние и перечисляет все правки: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удаление гипотез и исследований без названия, дублей гипотез;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перенумерация рангов и приведение вероятностей к долям (65 → 0.65);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объединение дублей исследований («СРБ» + «СРБ, количественно») с сохранением приоритета и полей;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сопоставление targetDx терапии с точным названием гипотезы;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удаление дублей терапевтических опций;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пометка опций без числовой дозы (без выдумывания дозы).</w:t>
      </w:r>
    </w:p>
    <w:p>
      <w:pPr>
        <w:pStyle w:val="Heading3"/>
      </w:pPr>
      <w:r>
        <w:t>8.9.2. Перенос решений врача</w:t>
      </w:r>
    </w:p>
    <w:p>
      <w:r>
        <w:t>carryOverDoctorState переносит confirmedDx и workupTracker в новую версию, но только для гипотез и исследований, которые остались в новом плане. Это исключает молчаливую потерю клинической работы при пересчёте.</w:t>
      </w:r>
    </w:p>
    <w:p>
      <w:pPr>
        <w:pStyle w:val="Heading3"/>
      </w:pPr>
      <w:r>
        <w:t>8.9.3. Формальная проверка рекомендаций</w:t>
      </w:r>
    </w:p>
    <w:p>
      <w:r>
        <w:t>auditAnalysis вычисляет 26 правил и балл. Проверка не оценивает правильность медицинских утверждений — она выявляет неполноту и внутренние противоречия набора.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Правило</w:t>
            </w:r>
          </w:p>
        </w:tc>
        <w:tc>
          <w:tcPr>
            <w:tcW w:type="dxa" w:w="136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Уровень</w:t>
            </w:r>
          </w:p>
        </w:tc>
        <w:tc>
          <w:tcPr>
            <w:tcW w:type="dxa" w:w="5216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Что проверяет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dx-empty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Дифференциальный ряд отсутствует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dx-few</w:t>
            </w:r>
          </w:p>
        </w:tc>
        <w:tc>
          <w:tcPr>
            <w:tcW w:type="dxa" w:w="13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521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Меньше трёх гипотез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dx-probability-order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warning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Вероятности не убывают по порядку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dx-probability-sum</w:t>
            </w:r>
          </w:p>
        </w:tc>
        <w:tc>
          <w:tcPr>
            <w:tcW w:type="dxa" w:w="13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warning</w:t>
            </w:r>
          </w:p>
        </w:tc>
        <w:tc>
          <w:tcPr>
            <w:tcW w:type="dxa" w:w="521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Сумма вероятностей &gt; 100%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dx-probability-missing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warning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Вероятности не оценены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dx-weak-support</w:t>
            </w:r>
          </w:p>
        </w:tc>
        <w:tc>
          <w:tcPr>
            <w:tcW w:type="dxa" w:w="13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warning</w:t>
            </w:r>
          </w:p>
        </w:tc>
        <w:tc>
          <w:tcPr>
            <w:tcW w:type="dxa" w:w="521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Меньше двух аргументов «за»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dx-no-counter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warning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Нет аргументов «против»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dx-no-workup</w:t>
            </w:r>
          </w:p>
        </w:tc>
        <w:tc>
          <w:tcPr>
            <w:tcW w:type="dxa" w:w="13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warning</w:t>
            </w:r>
          </w:p>
        </w:tc>
        <w:tc>
          <w:tcPr>
            <w:tcW w:type="dxa" w:w="521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Не указано, чем подтверждать гипотезу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dx-no-redflags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info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У ведущей гипотезы нет красных флагов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dx-no-sources</w:t>
            </w:r>
          </w:p>
        </w:tc>
        <w:tc>
          <w:tcPr>
            <w:tcW w:type="dxa" w:w="13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info</w:t>
            </w:r>
          </w:p>
        </w:tc>
        <w:tc>
          <w:tcPr>
            <w:tcW w:type="dxa" w:w="521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Гипотезы и анализ без источников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workup-empty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План обследования пуст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workup-no-link</w:t>
            </w:r>
          </w:p>
        </w:tc>
        <w:tc>
          <w:tcPr>
            <w:tcW w:type="dxa" w:w="13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warning</w:t>
            </w:r>
          </w:p>
        </w:tc>
        <w:tc>
          <w:tcPr>
            <w:tcW w:type="dxa" w:w="521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Тест без цели и привязки к гипотезе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workup-no-purpose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info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Нет описания «зачем»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workup-duplicates</w:t>
            </w:r>
          </w:p>
        </w:tc>
        <w:tc>
          <w:tcPr>
            <w:tcW w:type="dxa" w:w="13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warning</w:t>
            </w:r>
          </w:p>
        </w:tc>
        <w:tc>
          <w:tcPr>
            <w:tcW w:type="dxa" w:w="521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Дубли исследований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workup-no-reference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info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Лабораторный тест без нормы/критерия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workup-no-urgent</w:t>
            </w:r>
          </w:p>
        </w:tc>
        <w:tc>
          <w:tcPr>
            <w:tcW w:type="dxa" w:w="13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info</w:t>
            </w:r>
          </w:p>
        </w:tc>
        <w:tc>
          <w:tcPr>
            <w:tcW w:type="dxa" w:w="521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Нет срочных пунктов при вероятной гипотезе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therapy-orphan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Терапия привязана к диагнозу вне ряда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therapy-no-target</w:t>
            </w:r>
          </w:p>
        </w:tc>
        <w:tc>
          <w:tcPr>
            <w:tcW w:type="dxa" w:w="13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521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Терапия без целевого диагноза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therapy-no-dose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warning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Нет числовой дозы/режима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therapy-no-caution</w:t>
            </w:r>
          </w:p>
        </w:tc>
        <w:tc>
          <w:tcPr>
            <w:tcW w:type="dxa" w:w="13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warning</w:t>
            </w:r>
          </w:p>
        </w:tc>
        <w:tc>
          <w:tcPr>
            <w:tcW w:type="dxa" w:w="521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Нет предупреждений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therapy-no-source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warning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Нет источника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therapy-no-evidence</w:t>
            </w:r>
          </w:p>
        </w:tc>
        <w:tc>
          <w:tcPr>
            <w:tcW w:type="dxa" w:w="13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info</w:t>
            </w:r>
          </w:p>
        </w:tc>
        <w:tc>
          <w:tcPr>
            <w:tcW w:type="dxa" w:w="521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Нет уровня доказательности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monitoring-empty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warning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Терапия без плана контроля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monitoring-incomplete</w:t>
            </w:r>
          </w:p>
        </w:tc>
        <w:tc>
          <w:tcPr>
            <w:tcW w:type="dxa" w:w="13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info</w:t>
            </w:r>
          </w:p>
        </w:tc>
        <w:tc>
          <w:tcPr>
            <w:tcW w:type="dxa" w:w="521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Нет частоты или цели контроля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safety-allergy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Препарат совпадает с аллергией из карты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verification-not-run</w:t>
            </w:r>
          </w:p>
        </w:tc>
        <w:tc>
          <w:tcPr>
            <w:tcW w:type="dxa" w:w="13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info</w:t>
            </w:r>
          </w:p>
        </w:tc>
        <w:tc>
          <w:tcPr>
            <w:tcW w:type="dxa" w:w="521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Самопроверка не выполнялась</w:t>
            </w:r>
          </w:p>
        </w:tc>
      </w:tr>
    </w:tbl>
    <w:p>
      <w:pPr>
        <w:spacing w:after="40"/>
      </w:pPr>
    </w:p>
    <w:p>
      <w:r>
        <w:t>Балл: 100 − (18 × critical + 7 × warning + 2 × info), но не ниже 0. Готовность: ≥85 — набор полон и согласован, 65–84 — есть устранимые пробелы, &lt;65 — требуется ручная доработка. Пустой дифференциальный ряд всегда даёт готовность low.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tcBorders>
              <w:top w:val="single" w:sz="4" w:color="1D4ED8"/>
              <w:bottom w:val="single" w:sz="4" w:color="1D4ED8"/>
              <w:right w:val="single" w:sz="4" w:color="1D4ED8"/>
              <w:left w:val="single" w:sz="18" w:color="1D4ED8"/>
            </w:tcBorders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9"/>
              </w:rPr>
              <w:t>Результат проверки пишется в аудит при генерации (auditScore, auditCritical, auditWarnings) и пересчитывается в интерфейсе на актуальных данных — включая действия врача.</w:t>
            </w:r>
          </w:p>
        </w:tc>
      </w:tr>
    </w:tbl>
    <w:p>
      <w:pPr>
        <w:spacing w:after="40"/>
      </w:pPr>
    </w:p>
    <w:p>
      <w:pPr>
        <w:pStyle w:val="Heading2"/>
      </w:pPr>
      <w:r>
        <w:t>8.10. Отказоустойчивость и ручной режим</w:t>
      </w:r>
    </w:p>
    <w:p>
      <w:r>
        <w:t>Каждый шаг обёрнут try/catch: сбой одного источника не отменяет анализ. Внешний обработчик сбрасывает статус кейса из analyzing в uploaded при необработанной ошибке и возвращает 500 с понятным сообщением. Если ИИ недоступен, система работает в ручном режиме: документы загружаются и де-идентифицируются, заключение не генерируется, интерфейс показывает «ограничено».</w:t>
      </w:r>
    </w:p>
    <w:p>
      <w:pPr>
        <w:pStyle w:val="Heading2"/>
      </w:pPr>
      <w:r>
        <w:t>8.11. Экран результатов и рабочий процесс врача</w:t>
      </w:r>
    </w:p>
    <w:p>
      <w:r>
        <w:t>Результат анализа открывается как рабочее место, а не как сплошной текст. Сверху — четыре кликабельные сводки, ниже — восемь вкладок.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494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6917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KPI «Рабочий диагноз»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Ведущая гипотеза, вероятность, число гипотез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KPI «План обследования»</w:t>
            </w:r>
          </w:p>
        </w:tc>
        <w:tc>
          <w:tcPr>
            <w:tcW w:type="dxa" w:w="691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Выполнено/всего, срочные, число результатов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KPI «Терапия»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Число опций и сколько разблокировано подтверждением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KPI «Проверка набора»</w:t>
            </w:r>
          </w:p>
        </w:tc>
        <w:tc>
          <w:tcPr>
            <w:tcW w:type="dxa" w:w="691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Балл 0–100, число критичных и предупреждений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Обзор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Ведущая гипотеза с аргументами, срочные исследования, проверка, безопасность, уверенность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Гипотезы</w:t>
            </w:r>
          </w:p>
        </w:tc>
        <w:tc>
          <w:tcPr>
            <w:tcW w:type="dxa" w:w="691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Аккордеон гипотез: аргументы, красные флаги, подтверждение с обоснованием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Обследование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Трекер: фильтры, поиск, статусы, результат, подсказки, копирование плана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Терапия</w:t>
            </w:r>
          </w:p>
        </w:tc>
        <w:tc>
          <w:tcPr>
            <w:tcW w:type="dxa" w:w="691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Опции по гипотезам; заблокированы до подтверждения диагноза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Контроль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Маркеры, цели и частота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Источники</w:t>
            </w:r>
          </w:p>
        </w:tc>
        <w:tc>
          <w:tcPr>
            <w:tcW w:type="dxa" w:w="691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DDI, МКБ-10, генетика, RAG-рекомендации, пути, изображения, цитаты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Текст ИИ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Исходное заключение и разделы с копированием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Проверка</w:t>
            </w:r>
          </w:p>
        </w:tc>
        <w:tc>
          <w:tcPr>
            <w:tcW w:type="dxa" w:w="691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26 правил, автоматические исправления, отчёт самопроверки</w:t>
            </w:r>
          </w:p>
        </w:tc>
      </w:tr>
    </w:tbl>
    <w:p>
      <w:pPr>
        <w:spacing w:after="40"/>
      </w:pPr>
    </w:p>
    <w:p>
      <w:pPr>
        <w:pStyle w:val="Heading3"/>
      </w:pPr>
      <w:r>
        <w:t>8.11.1. Трекер обследований</w:t>
      </w:r>
    </w:p>
    <w:p>
      <w:r>
        <w:t>Каждый пункт плана показывает приоритет, срок, норму/пороги и привязку к гипотезам. Раскрытие даёт ожидаемый результат, подготовку, критерии «подтверждает/исключает», руководство по интерпретации и поля результата/комментария.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Смена статуса сохраняется сразу (оптимистичное обновление + серверная запись + аудит).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Ввод результата переводит пункт в «Результат получен» и показывает арифметическую сверку с референсом: «0.12 — выше нормы (норма до 0.04 нг/мл)».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Сверка — подсказка, а не заключение: рядом остаётся критерий подтверждения/исключения.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Фильтры: все, не закрыто, выполнено, есть результат, только срочные; поиск по названию, цели, гипотезе.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«Скопировать план» формирует текст для карты/направления с учётом статусов и результатов.</w:t>
      </w:r>
    </w:p>
    <w:p>
      <w:pPr>
        <w:pStyle w:val="Heading3"/>
      </w:pPr>
      <w:r>
        <w:t>8.11.2. Жёсткий gate терапии</w:t>
      </w:r>
    </w:p>
    <w:p>
      <w:r>
        <w:t>Опция терапии активна только если её targetDx входит в confirmedDx. Подтверждение выполняется в карточке гипотезы с обязательным обоснованием (какие результаты подтвердили диагноз); действие атрибутируется врачу и попадает в аудит. Снятие подтверждения возвращает опции в заблокированное состояние.</w:t>
      </w:r>
    </w:p>
    <w:p>
      <w:pPr>
        <w:pStyle w:val="Heading2"/>
      </w:pPr>
      <w:r>
        <w:t>8.12. Ограничения ИИ-конвейера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Качество зависит от локальной модели и её контекста; небольшие модели чаще нарушают формат.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Проверка рекомендаций формальная: она не подтверждает медицинскую правильность.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Вероятности в заключении — субъективные оценки модели, а не рассчитанные риски.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Внешние источники требуют сети; при недоступности качество снижается до локальной базы.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Структуризация и самопроверка добавляют два прохода модели, что увеличивает время анализа.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Клиническая валидация и регистрация как медицинского изделия в объём документа не входят.</w:t>
      </w:r>
    </w:p>
    <w:p>
      <w:pPr>
        <w:pStyle w:val="Heading1"/>
        <w:pageBreakBefore/>
        <w:pBdr>
          <w:bottom w:val="single" w:sz="8" w:space="6" w:color="14B8A6"/>
        </w:pBdr>
      </w:pPr>
      <w:r>
        <w:t>9. Клинические знания и справочники</w:t>
      </w:r>
    </w:p>
    <w:p>
      <w:pPr>
        <w:pStyle w:val="Heading2"/>
      </w:pPr>
      <w:r>
        <w:t>9.1. Клинические рекомендации Минздрава РФ</w:t>
      </w:r>
    </w:p>
    <w:p>
      <w:r>
        <w:t>Основной источник знаний — официальный репозиторий клинических рекомендаций (cr.minzdrav.gov.ru, API apicr.minzdrav.gov.ru). Модуль minzdrav-rag.ts выполняет поиск по теме, загружает полные тексты и нарезает их на фрагменты, ранжируя по покрытию терминов и типу раздела (диагностика/лечение).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Аспект</w:t>
            </w:r>
          </w:p>
        </w:tc>
        <w:tc>
          <w:tcPr>
            <w:tcW w:type="dxa" w:w="7143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Реализация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Поиск</w:t>
            </w:r>
          </w:p>
        </w:tc>
        <w:tc>
          <w:tcPr>
            <w:tcW w:type="dxa" w:w="714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Многошаговая стратегия: полный запрос → отдельные термины → фильтр по МКБ-10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Загрузка</w:t>
            </w:r>
          </w:p>
        </w:tc>
        <w:tc>
          <w:tcPr>
            <w:tcW w:type="dxa" w:w="71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Полные тексты КР, включая «Лечение», «Алгоритмы действий врача», «Шкалы»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Чанкинг</w:t>
            </w:r>
          </w:p>
        </w:tc>
        <w:tc>
          <w:tcPr>
            <w:tcW w:type="dxa" w:w="714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≈900 символов, перекрытие, приоритет границ разделов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Ранжирование</w:t>
            </w:r>
          </w:p>
        </w:tc>
        <w:tc>
          <w:tcPr>
            <w:tcW w:type="dxa" w:w="71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Покрытие терминов + буст релевантного раздела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Кэш</w:t>
            </w:r>
          </w:p>
        </w:tc>
        <w:tc>
          <w:tcPr>
            <w:tcW w:type="dxa" w:w="714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MinzdravCache (persistent) + in-memory; TTL настраивается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Отключение</w:t>
            </w:r>
          </w:p>
        </w:tc>
        <w:tc>
          <w:tcPr>
            <w:tcW w:type="dxa" w:w="714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MINZDRAV_CR_ENABLED=false — работа только по локальной базе</w:t>
            </w:r>
          </w:p>
        </w:tc>
      </w:tr>
    </w:tbl>
    <w:p>
      <w:pPr>
        <w:spacing w:after="40"/>
      </w:pPr>
    </w:p>
    <w:p>
      <w:pPr>
        <w:pStyle w:val="Heading2"/>
      </w:pPr>
      <w:r>
        <w:t>9.2. Международные источники</w:t>
      </w:r>
    </w:p>
    <w:p>
      <w:r>
        <w:t>Модуль international-rag.ts обращается к PubMed E-utilities и поиску по доверенным доменам. Запросы переводятся в англоязычное терминологическое ядро и не содержат идентификаторов пациента. Ответы кэшируются в памяти на 6 часов; недоступность источника не блокирует остальные.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60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3742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Механизм</w:t>
            </w:r>
          </w:p>
        </w:tc>
        <w:tc>
          <w:tcPr>
            <w:tcW w:type="dxa" w:w="306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Ограничение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PubMed / NLM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esearch + esummary + efetch abstracts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тайм-аут INTL_RAG_TIMEOUT_MS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ВОЗ, NICE, Cochrane, CDC, ESC, EMA</w:t>
            </w:r>
          </w:p>
        </w:tc>
        <w:tc>
          <w:tcPr>
            <w:tcW w:type="dxa" w:w="374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поиск с site-фильтром по домену</w:t>
            </w:r>
          </w:p>
        </w:tc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только доверенные домены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NCBI Bookshelf, NCCN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поиск по домену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ограничение количества результатов</w:t>
            </w:r>
          </w:p>
        </w:tc>
      </w:tr>
    </w:tbl>
    <w:p>
      <w:pPr>
        <w:spacing w:after="40"/>
      </w:pPr>
    </w:p>
    <w:p>
      <w:pPr>
        <w:pStyle w:val="Heading2"/>
      </w:pPr>
      <w:r>
        <w:t>9.3. Лекарственные взаимодействия</w:t>
      </w:r>
    </w:p>
    <w:p>
      <w:r>
        <w:t>Проверка DDI двухуровневая. Сначала локальная таблица DrugInteraction (29 записей в текущей БД) для мгновенных алертов, затем потоковый онлайн-поиск по РЛС, Видаль и ГРЛС с LLM-извлечением тяжести, механизма и тактики. Результаты кэшируются в DdiOnlineCache. Врач может подтвердить взаимодействие с обоснованием (POST /api/cases/[id]/ddi-override); решение попадает в аудит.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Аспект</w:t>
            </w:r>
          </w:p>
        </w:tc>
        <w:tc>
          <w:tcPr>
            <w:tcW w:type="dxa" w:w="7030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Локальная таблица</w:t>
            </w:r>
          </w:p>
        </w:tc>
        <w:tc>
          <w:tcPr>
            <w:tcW w:type="dxa" w:w="703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Поля: drug1, drug2, severity, description, mechanism, management, evidenceLevel, source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Онлайн-источники</w:t>
            </w:r>
          </w:p>
        </w:tc>
        <w:tc>
          <w:tcPr>
            <w:tcW w:type="dxa" w:w="703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rlsnet.ru, vidal.ru, grls.rosminzdrav.ru, cr.minzdrav.gov.ru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Нормализация</w:t>
            </w:r>
          </w:p>
        </w:tc>
        <w:tc>
          <w:tcPr>
            <w:tcW w:type="dxa" w:w="703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Словарь МНН российского рынка, синонимы брендов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Кэш</w:t>
            </w:r>
          </w:p>
        </w:tc>
        <w:tc>
          <w:tcPr>
            <w:tcW w:type="dxa" w:w="703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DdiOnlineCache: cacheKey, payload, hitCount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Override</w:t>
            </w:r>
          </w:p>
        </w:tc>
        <w:tc>
          <w:tcPr>
            <w:tcW w:type="dxa" w:w="703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Обоснование обязательно, запись в аудит</w:t>
            </w:r>
          </w:p>
        </w:tc>
      </w:tr>
    </w:tbl>
    <w:p>
      <w:pPr>
        <w:spacing w:after="40"/>
      </w:pPr>
    </w:p>
    <w:p>
      <w:pPr>
        <w:pStyle w:val="Heading2"/>
      </w:pPr>
      <w:r>
        <w:t>9.4. МКБ-10, клинические пути, шаблоны, калькуляторы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</w:r>
      <w:r>
        <w:rPr>
          <w:b/>
          <w:sz w:val="21"/>
        </w:rPr>
        <w:t>МКБ-10</w:t>
      </w:r>
      <w:r>
        <w:rPr>
          <w:b w:val="0"/>
          <w:sz w:val="21"/>
        </w:rPr>
        <w:t>: локальный справочник (98 кодов) + поиск в репозитории Минздрава; коды сохраняются в кейсе.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</w:r>
      <w:r>
        <w:rPr>
          <w:b/>
          <w:sz w:val="21"/>
        </w:rPr>
        <w:t>Клинические пути</w:t>
      </w:r>
      <w:r>
        <w:rPr>
          <w:b w:val="0"/>
          <w:sz w:val="21"/>
        </w:rPr>
        <w:t>: 8 записей с шагами, критериями, препаратами и мониторингом; сопоставление по диагнозу и МКБ.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</w:r>
      <w:r>
        <w:rPr>
          <w:b/>
          <w:sz w:val="21"/>
        </w:rPr>
        <w:t>Шаблоны отчётов</w:t>
      </w:r>
      <w:r>
        <w:rPr>
          <w:b w:val="0"/>
          <w:sz w:val="21"/>
        </w:rPr>
        <w:t>: секции типов text/table/chart/signature, watermark, обязательность; создаются администратором.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</w:r>
      <w:r>
        <w:rPr>
          <w:b/>
          <w:sz w:val="21"/>
        </w:rPr>
        <w:t>Калькуляторы и протоколы</w:t>
      </w:r>
      <w:r>
        <w:rPr>
          <w:b w:val="0"/>
          <w:sz w:val="21"/>
        </w:rPr>
        <w:t>: экран calculators.tsx содержит клинические шкалы и чек-листы неотложных состояний (ACLS, сепсис, инсульт, анафилаксия, ДКА, гипертонический криз).</w:t>
      </w:r>
    </w:p>
    <w:p>
      <w:pPr>
        <w:pStyle w:val="Heading2"/>
      </w:pPr>
      <w:r>
        <w:t>9.5. Санитизация внешних запросов</w:t>
      </w:r>
    </w:p>
    <w:p>
      <w:r>
        <w:t>Перед любым внешним запросом query-sanitizer.ts извлекает только клинические термины по allowlist: гены (HGNC), коды МКБ-10, МНН, названия исследований и процедур. Свободный нарратив, ФИО, даты, адреса и идентификаторы отбрасываются. Это второй слой защиты после де-идентификации документа.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649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Что извлекается</w:t>
            </w:r>
          </w:p>
        </w:tc>
        <w:tc>
          <w:tcPr>
            <w:tcW w:type="dxa" w:w="4762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Что отбрасывается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Диагнозы и синдромы, коды МКБ-10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ФИО, инициалы, должности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МНН препаратов, классы</w:t>
            </w:r>
          </w:p>
        </w:tc>
        <w:tc>
          <w:tcPr>
            <w:tcW w:type="dxa" w:w="476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Адреса, телефоны, e-mail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Гены и варианты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СНИЛС, ОМС, паспорт, ИНН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Лабораторные и инструментальные термины</w:t>
            </w:r>
          </w:p>
        </w:tc>
        <w:tc>
          <w:tcPr>
            <w:tcW w:type="dxa" w:w="476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Даты рождения и точные даты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Ключевые клинические признаки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Свободный текст выписки</w:t>
            </w:r>
          </w:p>
        </w:tc>
      </w:tr>
    </w:tbl>
    <w:p>
      <w:pPr>
        <w:spacing w:after="40"/>
      </w:pPr>
    </w:p>
    <w:p>
      <w:pPr>
        <w:pStyle w:val="Heading2"/>
      </w:pPr>
      <w:r>
        <w:t>9.6. Отказоустойчивость сети</w:t>
      </w:r>
    </w:p>
    <w:p>
      <w:r>
        <w:t>network-health.ts реализует мульти-эндпоинтный зонд (Минздрав, Cloudflare, gstatic, Яндекс), гистерезис и per-host circuit breaker. Статус «офлайн» устанавливается только после нескольких подряд неудачных циклов, а один успешный зонд возвращает «онлайн». Сбои одного хоста не блокируют остальные.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4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306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По умолчанию</w:t>
            </w:r>
          </w:p>
        </w:tc>
        <w:tc>
          <w:tcPr>
            <w:tcW w:type="dxa" w:w="3402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Переменная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Интервал зондирования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60 000 мс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NETWORK_PROBE_INTERVAL_MS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Тайм-аут зонда</w:t>
            </w:r>
          </w:p>
        </w:tc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8 000 мс</w:t>
            </w:r>
          </w:p>
        </w:tc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NETWORK_PROBE_TIMEOUT_MS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Порог «офлайн»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2 неудачных цикла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NETWORK_OFFLINE_AFTER_FAILURES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Порог цепи на хост</w:t>
            </w:r>
          </w:p>
        </w:tc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4 сбоя</w:t>
            </w:r>
          </w:p>
        </w:tc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NETWORK_CIRCUIT_FAILURE_THRESHOLD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Охлаждение цепи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30 000 мс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NETWORK_CIRCUIT_COOLDOWN_MS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Список эндпоинтов</w:t>
            </w:r>
          </w:p>
        </w:tc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встроенный</w:t>
            </w:r>
          </w:p>
        </w:tc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NETWORK_PROBE_ENDPOINTS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6" w:color="14B8A6"/>
        </w:pBdr>
      </w:pPr>
      <w:r>
        <w:t>10. Безопасность и соответствие</w:t>
      </w:r>
    </w:p>
    <w:p>
      <w:pPr>
        <w:pStyle w:val="Heading2"/>
      </w:pPr>
      <w:r>
        <w:t>10.1. Модель угроз и меры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06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Угроза</w:t>
            </w:r>
          </w:p>
        </w:tc>
        <w:tc>
          <w:tcPr>
            <w:tcW w:type="dxa" w:w="6350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Мера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Подбор пароля / credential stuffing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bcrypt cost 12, блокировка 5 попыток на 15 минут, rate limit 20/мин на IP, одинаковый ответ для неизвестного кода и неверного пароля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Кража сессии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JWT в HttpOnly + SameSite=Strict cookie, срок 2 ч, tokenVersion для отзыва, CSP без сторонних origin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IDOR (доступ к чужим кейсам)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requireCaseAccess: владелец, активный CaseShare или админ; 404 вместо 403 для чужих объектов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Утечка файлов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private-storage вне public; отдача только через auth-маршруты; AES-256-GCM на диске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Утечка БД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E2EE карт: сервер хранит только шифротекст Tier-1 полей и wrappedPdek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Перехват внешнего запроса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только санитизированные термины; TLS; никаких PHI в query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Подмена аудита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хеш-цепочка SHA-256, проверка целостности, append-only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Обход согласия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server-side gate до обращения к модели, 403 CONSENT_MISSING/EXPIRED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SSRF к ИИ-серверу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allowlist localhost + AI_EXTRA_ALLOWED_HOSTS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Отказ в обслуживании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rate limit, тайм-ауты LLM и сети, circuit breaker, graceful degradation</w:t>
            </w:r>
          </w:p>
        </w:tc>
      </w:tr>
    </w:tbl>
    <w:p>
      <w:pPr>
        <w:spacing w:after="40"/>
      </w:pPr>
    </w:p>
    <w:p>
      <w:pPr>
        <w:pStyle w:val="Heading2"/>
      </w:pPr>
      <w:r>
        <w:t>10.2. Аутентификация и сессии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Алгоритм JWT — HS256, issuer sppvr-cdss, audience sppvr-cdss-api, срок 2 часа.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Токен передаётся в теле ответа и одновременно устанавливается в HttpOnly cookie (SameSite=Strict).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Edge-прокси перевыпускает токен, если до истечения осталось менее часа (скользящее продление).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Инкремент Doctor.tokenVersion мгновенно отзывает все ранее выданные токены.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Проверка токена выполняется и на edge (proxy.ts), и в обработчиках (requireAuth/requireAdmin).</w:t>
      </w:r>
    </w:p>
    <w:p>
      <w:pPr>
        <w:pStyle w:val="Heading2"/>
      </w:pPr>
      <w:r>
        <w:t>10.3. Пароли и блокировки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17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236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Хеширование</w:t>
            </w:r>
          </w:p>
        </w:tc>
        <w:tc>
          <w:tcPr>
            <w:tcW w:type="dxa" w:w="623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bcrypt, cost 12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Минимальная длина</w:t>
            </w:r>
          </w:p>
        </w:tc>
        <w:tc>
          <w:tcPr>
            <w:tcW w:type="dxa" w:w="623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10 символов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Требования</w:t>
            </w:r>
          </w:p>
        </w:tc>
        <w:tc>
          <w:tcPr>
            <w:tcW w:type="dxa" w:w="623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минимум одна буква и одна цифра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Блокировка</w:t>
            </w:r>
          </w:p>
        </w:tc>
        <w:tc>
          <w:tcPr>
            <w:tcW w:type="dxa" w:w="623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5 неудачных попыток → 15 минут (сохраняется в БД)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Сброс счётчика</w:t>
            </w:r>
          </w:p>
        </w:tc>
        <w:tc>
          <w:tcPr>
            <w:tcW w:type="dxa" w:w="623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успешный вход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Первичный пароль</w:t>
            </w:r>
          </w:p>
        </w:tc>
        <w:tc>
          <w:tcPr>
            <w:tcW w:type="dxa" w:w="623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генерируется криптографически, показывается один раз, требует смены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Регистрация</w:t>
            </w:r>
          </w:p>
        </w:tc>
        <w:tc>
          <w:tcPr>
            <w:tcW w:type="dxa" w:w="623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закрыта по умолчанию (REGISTRATION_OPEN=false)</w:t>
            </w:r>
          </w:p>
        </w:tc>
      </w:tr>
    </w:tbl>
    <w:p>
      <w:pPr>
        <w:spacing w:after="40"/>
      </w:pPr>
    </w:p>
    <w:p>
      <w:pPr>
        <w:pStyle w:val="Heading2"/>
      </w:pPr>
      <w:r>
        <w:t>10.4. Авторизация</w:t>
      </w:r>
    </w:p>
    <w:p>
      <w:r>
        <w:t>Доступ к кейсу проверяет requireCaseAccess: администратор проходит всегда; врач — если он владелец кейса или кейс активно расшарен ему (CaseShare.status = active, accessLevel read или comment). Доступ к карте пациента дополнительно регулируется PatientAccessGrant, который содержит пере-завёрнутый PDEK, срок действия и статус отзыва.</w:t>
      </w:r>
    </w:p>
    <w:p>
      <w:r>
        <w:t>Административные маршруты (управление врачами, аудит, логи, резервные копии, шифрование, сиды и шаблоны) закрыты на edge-уровне и повторно проверяются в обработчике.</w:t>
      </w:r>
    </w:p>
    <w:p>
      <w:pPr>
        <w:pStyle w:val="Heading2"/>
      </w:pPr>
      <w:r>
        <w:t>10.5. E2EE карт пациентов</w:t>
      </w:r>
    </w:p>
    <w:p>
      <w:r>
        <w:t>Прямые идентификаторы пациента (ФИО, дата рождения, телефон, адрес, СНИЛС, полис) шифруются в браузере врача и хранятся в виде enc:v1:…. Сервер не располагает ключами.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3742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Ключ</w:t>
            </w:r>
          </w:p>
        </w:tc>
        <w:tc>
          <w:tcPr>
            <w:tcW w:type="dxa" w:w="385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Пароль врача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Ввод пользователя, никогда не покидает браузер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KEK</w:t>
            </w:r>
          </w:p>
        </w:tc>
        <w:tc>
          <w:tcPr>
            <w:tcW w:type="dxa" w:w="374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Argon2id (64 MiB, 3 итерации, p=4) → 64 байта</w:t>
            </w:r>
          </w:p>
        </w:tc>
        <w:tc>
          <w:tcPr>
            <w:tcW w:type="dxa" w:w="385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Заворачивает master-DEK; параметры KDF хранятся в key material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Master-DEK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Случайный 64-байтный (каскад: 2×256 бит)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Заворачивает PDEK карт; хранится только в завёрнутом виде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PDEK</w:t>
            </w:r>
          </w:p>
        </w:tc>
        <w:tc>
          <w:tcPr>
            <w:tcW w:type="dxa" w:w="374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Случайные 64 байта на карту</w:t>
            </w:r>
          </w:p>
        </w:tc>
        <w:tc>
          <w:tcPr>
            <w:tcW w:type="dxa" w:w="385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Шифрует поля конкретной карты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KEK_grant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X25519 + HKDF-SHA256("SPPVR-GRANT-V1")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Пере-заворачивание PDEK при выдаче доступа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Шифр</w:t>
            </w:r>
          </w:p>
        </w:tc>
        <w:tc>
          <w:tcPr>
            <w:tcW w:type="dxa" w:w="374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AES-256-GCM-SIV + ChaCha20-Poly1305 (каскад)</w:t>
            </w:r>
          </w:p>
        </w:tc>
        <w:tc>
          <w:tcPr>
            <w:tcW w:type="dxa" w:w="385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AEAD, устойчивость к nonce-reuse</w:t>
            </w:r>
          </w:p>
        </w:tc>
      </w:tr>
    </w:tbl>
    <w:p>
      <w:pPr>
        <w:spacing w:after="40"/>
      </w:pP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1. </w:t>
      </w:r>
      <w:r>
        <w:rPr>
          <w:b w:val="0"/>
          <w:sz w:val="21"/>
        </w:rPr>
        <w:t>Браузер выводит KEK из пароля и разворачивает master-DEK; на сервер уходит только шифротекст.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2. </w:t>
      </w:r>
      <w:r>
        <w:rPr>
          <w:b w:val="0"/>
          <w:sz w:val="21"/>
        </w:rPr>
        <w:t>Для новой карты генерируется PDEK; Tier-1 поля шифруются PDEK каскадом.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3. </w:t>
      </w:r>
      <w:r>
        <w:rPr>
          <w:b w:val="0"/>
          <w:sz w:val="21"/>
        </w:rPr>
        <w:t>wrappedPdek (PDEK под master-DEK владельца) сохраняется в Patient.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4. </w:t>
      </w:r>
      <w:r>
        <w:rPr>
          <w:b w:val="0"/>
          <w:sz w:val="21"/>
        </w:rPr>
        <w:t>При выдаче доступа владелец разворачивает PDEK и пере-заворачивает его под KEK_grant.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5. </w:t>
      </w:r>
      <w:r>
        <w:rPr>
          <w:b w:val="0"/>
          <w:sz w:val="21"/>
        </w:rPr>
        <w:t>Получатель выводит KEK_grant своим X25519-ключом и публичным ключом владельца, разворачивает PDEK.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tcBorders>
              <w:top w:val="single" w:sz="4" w:color="1D4ED8"/>
              <w:bottom w:val="single" w:sz="4" w:color="1D4ED8"/>
              <w:right w:val="single" w:sz="4" w:color="1D4ED8"/>
              <w:left w:val="single" w:sz="18" w:color="1D4ED8"/>
            </w:tcBorders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9"/>
              </w:rPr>
              <w:t>Потеря пароля врача означает потерю доступа к его E2EE-картам: сервер не может восстановить ключ. Это осознанный компромисс zero-knowledge-схемы; процедура восстановления должна быть описана регламентом организации.</w:t>
            </w:r>
          </w:p>
        </w:tc>
      </w:tr>
    </w:tbl>
    <w:p>
      <w:pPr>
        <w:spacing w:after="40"/>
      </w:pPr>
    </w:p>
    <w:p>
      <w:pPr>
        <w:pStyle w:val="Heading2"/>
      </w:pPr>
      <w:r>
        <w:t>10.6. Шифрование файлов и хранилища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494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Свойство</w:t>
            </w:r>
          </w:p>
        </w:tc>
        <w:tc>
          <w:tcPr>
            <w:tcW w:type="dxa" w:w="6917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Алгоритм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AES-256-GCM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Ключ</w:t>
            </w:r>
          </w:p>
        </w:tc>
        <w:tc>
          <w:tcPr>
            <w:tcW w:type="dxa" w:w="691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scrypt от ENCRYPTION_KEY (≥ 64 символов), N = 2^17, r = 8, p = 1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Параметры на файл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salt 32 байта, IV 16 байт, auth tag 16 байт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Формат</w:t>
            </w:r>
          </w:p>
        </w:tc>
        <w:tc>
          <w:tcPr>
            <w:tcW w:type="dxa" w:w="691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&lt;имя&gt;.enc + &lt;имя&gt;.enc.meta (параметры KDF, nonce, tag)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Легаси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файлы со старым KDF (N = 16384) читаются, новые — только с усиленным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Расположение</w:t>
            </w:r>
          </w:p>
        </w:tc>
        <w:tc>
          <w:tcPr>
            <w:tcW w:type="dxa" w:w="691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private-storage/ (вне public), отдача только через auth-маршруты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Ротация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scripts/rotate-encryption-key.ts (dry-run, проверка round-trip)</w:t>
            </w:r>
          </w:p>
        </w:tc>
      </w:tr>
    </w:tbl>
    <w:p>
      <w:pPr>
        <w:spacing w:after="40"/>
      </w:pPr>
    </w:p>
    <w:p>
      <w:pPr>
        <w:pStyle w:val="Heading2"/>
      </w:pPr>
      <w:r>
        <w:t>10.7. Де-идентификация перед ИИ</w:t>
      </w:r>
    </w:p>
    <w:p>
      <w:r>
        <w:t>deidentify.ts заменяет структурированные идентификаторы на токены: СНИЛС, полис ОМС, паспорт, ИНН, телефон, e-mail, адрес, даты, ФИО. Порядок паттернов подобран так, чтобы широкие правила не «съедали» части структурированных идентификаторов. ner-deidentify.ts сохраняет API и добавляет локальную NER-обёртку; облачные вызовы не используются.</w:t>
      </w:r>
    </w:p>
    <w:p>
      <w:r>
        <w:t>Де-идентифицированный текст (deidContent) — единственный, который попадает в модель и в контекст анализа. Оригинал доступен только через защищённые маршруты.</w:t>
      </w:r>
    </w:p>
    <w:p>
      <w:pPr>
        <w:pStyle w:val="Heading2"/>
      </w:pPr>
      <w:r>
        <w:t>10.8. Аудит (WORM)</w:t>
      </w:r>
    </w:p>
    <w:p>
      <w:r>
        <w:t>Каждая запись AuditLog содержит prevHash и hash = SHA-256 от канонической строки action|details|caseId|doctorId|ipAddress|userAgent|createdAt|prevHash. Изменение или удаление записи разрывает цепочку; GET /api/audit/verify находит первое расхождение. Экспорт — CSV или JSON (GET /api/audit/export?format=csv|json).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94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6463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Когда пишется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analyze</w:t>
            </w:r>
          </w:p>
        </w:tc>
        <w:tc>
          <w:tcPr>
            <w:tcW w:type="dxa" w:w="646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Запуск и завершение ИИ-анализа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confirm_dx / unconfirm_dx</w:t>
            </w:r>
          </w:p>
        </w:tc>
        <w:tc>
          <w:tcPr>
            <w:tcW w:type="dxa" w:w="646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Подтверждение или снятие подтверждения диагноза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workup_status_update</w:t>
            </w:r>
          </w:p>
        </w:tc>
        <w:tc>
          <w:tcPr>
            <w:tcW w:type="dxa" w:w="646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Изменение статуса/результата исследования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report_sign</w:t>
            </w:r>
          </w:p>
        </w:tc>
        <w:tc>
          <w:tcPr>
            <w:tcW w:type="dxa" w:w="646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Подписание отчёта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login_failed / lockout</w:t>
            </w:r>
          </w:p>
        </w:tc>
        <w:tc>
          <w:tcPr>
            <w:tcW w:type="dxa" w:w="6463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Неудачные входы и блокировки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control_panel_edit</w:t>
            </w:r>
          </w:p>
        </w:tc>
        <w:tc>
          <w:tcPr>
            <w:tcW w:type="dxa" w:w="6463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Правка заключения, весов, комментариев</w:t>
            </w:r>
          </w:p>
        </w:tc>
      </w:tr>
    </w:tbl>
    <w:p>
      <w:pPr>
        <w:spacing w:after="40"/>
      </w:pPr>
    </w:p>
    <w:p>
      <w:pPr>
        <w:pStyle w:val="Heading2"/>
      </w:pPr>
      <w:r>
        <w:t>10.9. Согласия пациента</w:t>
      </w:r>
    </w:p>
    <w:p>
      <w:r>
        <w:t>Поддерживаются типы data_processing, ai_analysis, genetic_analysis, report_sharing, data_retention. Для запуска анализа требуется действующее согласие ai_analysis; срок проверяется на сервере. Отсутствие или истечение согласия возвращает 403 с кодом, который интерфейс использует для перехода к разделу согласий.</w:t>
      </w:r>
    </w:p>
    <w:p>
      <w:pPr>
        <w:pStyle w:val="Heading2"/>
      </w:pPr>
      <w:r>
        <w:t>10.10. Заголовки, лимиты, SSRF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Мера</w:t>
            </w:r>
          </w:p>
        </w:tc>
        <w:tc>
          <w:tcPr>
            <w:tcW w:type="dxa" w:w="6576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Content-Security-Policy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default-src 'self'; object-src 'none'; frame-ancestors 'none'; connect-src 'self'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X-Frame-Options</w:t>
            </w:r>
          </w:p>
        </w:tc>
        <w:tc>
          <w:tcPr>
            <w:tcW w:type="dxa" w:w="657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DENY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X-Content-Type-Options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nosniff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Referrer-Policy</w:t>
            </w:r>
          </w:p>
        </w:tc>
        <w:tc>
          <w:tcPr>
            <w:tcW w:type="dxa" w:w="657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strict-origin-when-cross-origin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Permissions-Policy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camera/microphone/geolocation/payment/usb/bluetooth/gyroscope = ()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HSTS</w:t>
            </w:r>
          </w:p>
        </w:tc>
        <w:tc>
          <w:tcPr>
            <w:tcW w:type="dxa" w:w="657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max-age=63072000; includeSubDomains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Rate limit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20/мин (auth), 300/мин (API) на IP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SSRF</w:t>
            </w:r>
          </w:p>
        </w:tc>
        <w:tc>
          <w:tcPr>
            <w:tcW w:type="dxa" w:w="657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ИИ-сервер: localhost или AI_EXTRA_ALLOWED_HOSTS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X-Powered-By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отключён</w:t>
            </w:r>
          </w:p>
        </w:tc>
      </w:tr>
    </w:tbl>
    <w:p>
      <w:pPr>
        <w:spacing w:after="40"/>
      </w:pPr>
    </w:p>
    <w:p>
      <w:pPr>
        <w:pStyle w:val="Heading2"/>
      </w:pPr>
      <w:r>
        <w:t>10.11. Секреты и переменные окружения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JWT_SECRET и ENCRYPTION_KEY обязательны в любом окружении; минимум 64 символа.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При отсутствии, слабости или совпадении с чёрным списком скомпрометированных значений приложение не стартует (fail-closed).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На edge отсутствие секрета даёт 503 на все маршруты, кроме /api/health.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Скрипт scripts/ensure-env.ts запускается вручную: восстанавливает отсутствующие секреты и настройки, не перезаписывая пользовательские значения (в npm-скрипты он не включён).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NODE_ENV=production запрещает unsafe-eval в CSP.</w:t>
      </w:r>
    </w:p>
    <w:p>
      <w:pPr>
        <w:pStyle w:val="Heading2"/>
      </w:pPr>
      <w:r>
        <w:t>10.12. Остаточные риски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06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Риск</w:t>
            </w:r>
          </w:p>
        </w:tc>
        <w:tc>
          <w:tcPr>
            <w:tcW w:type="dxa" w:w="238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Оценка</w:t>
            </w:r>
          </w:p>
        </w:tc>
        <w:tc>
          <w:tcPr>
            <w:tcW w:type="dxa" w:w="3969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Что делать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Компрометация пароля врача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высокая для E2EE-карт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Сильная парольная политика, блокировка, обучение; регламент восстановления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Локальная модель галлюцинирует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средняя</w:t>
            </w:r>
          </w:p>
        </w:tc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Самопроверка, формальная проверка, обязательное подтверждение врачом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SQLite как единая точка отказа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средняя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Резервное копирование, мониторинг, план миграции на PostgreSQL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In-memory rate limit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низкая/средняя</w:t>
            </w:r>
          </w:p>
        </w:tc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Один экземпляр приложения; при масштабировании — внешний лимитер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Хеш-цепочка без внешнего якоря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средняя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Периодическая выгрузка хеша последней записи во внешний регистратор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Резервная копия не восстанавливается напрямую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средняя</w:t>
            </w:r>
          </w:p>
        </w:tc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Хранить процедуру расшифровки .bin и проверять восстановление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Демонстрационные справочники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высокая для клиники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Заменить заверенными источниками до эксплуатации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6" w:color="14B8A6"/>
        </w:pBdr>
      </w:pPr>
      <w:r>
        <w:t>11. Развёртывание и эксплуатация</w:t>
      </w:r>
    </w:p>
    <w:p>
      <w:pPr>
        <w:pStyle w:val="Heading2"/>
      </w:pPr>
      <w:r>
        <w:t>11.1. Установка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shd w:val="clear" w:color="auto" w:fill="F4F6F8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# 1. Зависимости</w:t>
              <w:br/>
            </w:r>
            <w:r>
              <w:rPr>
                <w:rFonts w:ascii="Consolas" w:hAnsi="Consolas" w:eastAsia="Consolas"/>
                <w:sz w:val="16"/>
              </w:rPr>
              <w:t>bun install            # или: npm install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># 2. Конфигурация</w:t>
              <w:br/>
            </w:r>
            <w:r>
              <w:rPr>
                <w:rFonts w:ascii="Consolas" w:hAnsi="Consolas" w:eastAsia="Consolas"/>
                <w:sz w:val="16"/>
              </w:rPr>
              <w:t>cp .env.example .env   # Windows: copy .env.example .env</w:t>
              <w:br/>
            </w:r>
            <w:r>
              <w:rPr>
                <w:rFonts w:ascii="Consolas" w:hAnsi="Consolas" w:eastAsia="Consolas"/>
                <w:sz w:val="16"/>
              </w:rPr>
              <w:t># JWT_SECRET и ENCRYPTION_KEY: openssl rand -hex 32</w:t>
              <w:br/>
            </w:r>
            <w:r>
              <w:rPr>
                <w:rFonts w:ascii="Consolas" w:hAnsi="Consolas" w:eastAsia="Consolas"/>
                <w:sz w:val="16"/>
              </w:rPr>
              <w:t># либо: bun scripts/ensure-env.ts (создаст отсутствующие секреты)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># 3. Схема БД</w:t>
              <w:br/>
            </w:r>
            <w:r>
              <w:rPr>
                <w:rFonts w:ascii="Consolas" w:hAnsi="Consolas" w:eastAsia="Consolas"/>
                <w:sz w:val="16"/>
              </w:rPr>
              <w:t>bun run db:push        # разработка; для промышленной — prisma migrate deploy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># 4. ИИ-сервер (отдельно)</w:t>
              <w:br/>
            </w:r>
            <w:r>
              <w:rPr>
                <w:rFonts w:ascii="Consolas" w:hAnsi="Consolas" w:eastAsia="Consolas"/>
                <w:sz w:val="16"/>
              </w:rPr>
              <w:t>.\llama-server.exe -m models\model.q4_k_m.gguf --host 127.0.0.1 --port 8080 -c 16384 -ngl 99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># 5. Запуск</w:t>
              <w:br/>
            </w:r>
            <w:r>
              <w:rPr>
                <w:rFonts w:ascii="Consolas" w:hAnsi="Consolas" w:eastAsia="Consolas"/>
                <w:sz w:val="16"/>
              </w:rPr>
              <w:t>bun run dev            # http://localhost:3000</w:t>
              <w:br/>
            </w:r>
            <w:r>
              <w:rPr>
                <w:rFonts w:ascii="Consolas" w:hAnsi="Consolas" w:eastAsia="Consolas"/>
                <w:sz w:val="16"/>
              </w:rPr>
            </w:r>
          </w:p>
        </w:tc>
      </w:tr>
    </w:tbl>
    <w:p>
      <w:pPr>
        <w:pStyle w:val="CaptionSmall"/>
      </w:pPr>
      <w:r>
        <w:t>Рис. 11.1. Быстрый старт</w:t>
      </w:r>
    </w:p>
    <w:p>
      <w:pPr>
        <w:pStyle w:val="Heading2"/>
      </w:pPr>
      <w:r>
        <w:t>11.2. Переменные окружения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402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Переменная</w:t>
            </w:r>
          </w:p>
        </w:tc>
        <w:tc>
          <w:tcPr>
            <w:tcW w:type="dxa" w:w="238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По умолчанию</w:t>
            </w:r>
          </w:p>
        </w:tc>
        <w:tc>
          <w:tcPr>
            <w:tcW w:type="dxa" w:w="362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DATABASE_URL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file:../db/custom.db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Путь к SQLite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JWT_SECRET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обязателен, ≥ 64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Подпись JWT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ENCRYPTION_KEY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обязателен, ≥ 64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Ключ шифрования файлов и бэкапов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NODE_ENV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development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production отключает unsafe-eval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REGISTRATION_OPEN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false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Открытая регистрация врачей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INIT_BOOTSTRAP_TOKEN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Ограничение первичной инициализации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AI_PROVIDER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llama-server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llama-server | lm-studio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LLAMA_SERVER_URL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http://127.0.0.1:8080/v1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Адрес llama.cpp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LLAMA_SERVER_MODEL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первая модель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Идентификатор модели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LLAMA_SERVER_API_KEY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Ключ, если сервер требует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LM_STUDIO_URL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http://127.0.0.1:1234/v1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Адрес LM Studio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LM_STUDIO_MODEL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первая модель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Идентификатор модели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LM_STUDIO_API_KEY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Ключ LM Studio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AI_ENABLED / LM_STUDIO_ENABLED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true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Отключение ИИ-функций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AI_EXTRA_ALLOWED_HOSTS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Доп. хосты ИИ (SSRF)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AI_TEMPERATURE / AI_MAX_TOKENS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0.2 / 8192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Параметры генерации (общие)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AI_TIMEOUT_MS / AI_IDLE_TIMEOUT_MS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600000 / 180000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Тайм-ауты LLM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AI_MAX_RETRIES / AI_RETRY_BASE_DELAY_MS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2 / 1000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Повторы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AI_HEALTH_TIMEOUT_MS / AI_HEALTH_CACHE_MS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3000 / 15000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Health-check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AI_DEEP_ANALYSIS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true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Включение самопроверки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AI_SELF_VERIFY_PASSES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Число проходов проверки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AI_TEMPERATURE_ANALYSIS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Температура анализа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AI_MAX_TOKENS_ANALYSIS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8192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Токены анализа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MINZDRAV_CR_ENABLED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true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Использовать репозиторий КР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WEB_RAG_ENABLED / WEB_RAG_MAX_RESULTS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true / 6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Web-RAG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WEB_RAG_CACHE_TTL_MS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TTL кэша web-RAG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INTL_RAG_ENABLED / _MAX_RESULTS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true / 6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Международные источники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INTL_RAG_TIMEOUT_MS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12000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Тайм-аут международного RAG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NETWORK_PROBE_INTERVAL_MS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60000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Период зонда сети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NETWORK_PROBE_TIMEOUT_MS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8000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Тайм-аут зонда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NETWORK_OFFLINE_AFTER_FAILURES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Порог «офлайн»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NETWORK_CIRCUIT_FAILURE_THRESHOLD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Порог цепи на хост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NETWORK_CIRCUIT_COOLDOWN_MS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30000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Охлаждение цепи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NETWORK_PROBE_ENDPOINTS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встроенный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5"/>
              </w:rPr>
              <w:t>Список эндпоинтов зонда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tcBorders>
              <w:top w:val="single" w:sz="4" w:color="1D4ED8"/>
              <w:bottom w:val="single" w:sz="4" w:color="1D4ED8"/>
              <w:right w:val="single" w:sz="4" w:color="1D4ED8"/>
              <w:left w:val="single" w:sz="18" w:color="1D4ED8"/>
            </w:tcBorders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9"/>
              </w:rPr>
              <w:t>Для параметров ИИ действует правило: AI_&lt;NAME&gt; имеет приоритет, при пустом значении используется LM_STUDIO_&lt;NAME&gt;. Это обеспечивает совместимость с конфигурациями v5.0.</w:t>
            </w:r>
          </w:p>
        </w:tc>
      </w:tr>
    </w:tbl>
    <w:p>
      <w:pPr>
        <w:spacing w:after="40"/>
      </w:pPr>
    </w:p>
    <w:p>
      <w:pPr>
        <w:pStyle w:val="Heading2"/>
      </w:pPr>
      <w:r>
        <w:t>11.3. Сборка и запуск в production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shd w:val="clear" w:color="auto" w:fill="F4F6F8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# Сборка (кроссплатформенно)</w:t>
              <w:br/>
            </w:r>
            <w:r>
              <w:rPr>
                <w:rFonts w:ascii="Consolas" w:hAnsi="Consolas" w:eastAsia="Consolas"/>
                <w:sz w:val="16"/>
              </w:rPr>
              <w:t>npx next build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># На POSIX скрипт пакета дополнительно копирует static и public в standalone:</w:t>
              <w:br/>
            </w:r>
            <w:r>
              <w:rPr>
                <w:rFonts w:ascii="Consolas" w:hAnsi="Consolas" w:eastAsia="Consolas"/>
                <w:sz w:val="16"/>
              </w:rPr>
              <w:t>#   next build &amp;&amp; cp -r .next/static .next/standalone/.next/ &amp;&amp; cp -r public .next/standalone/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># Запуск standalone-сервера</w:t>
              <w:br/>
            </w:r>
            <w:r>
              <w:rPr>
                <w:rFonts w:ascii="Consolas" w:hAnsi="Consolas" w:eastAsia="Consolas"/>
                <w:sz w:val="16"/>
              </w:rPr>
              <w:t>NODE_ENV=production node .next/standalone/server.js</w:t>
              <w:br/>
            </w:r>
            <w:r>
              <w:rPr>
                <w:rFonts w:ascii="Consolas" w:hAnsi="Consolas" w:eastAsia="Consolas"/>
                <w:sz w:val="16"/>
              </w:rPr>
              <w:t># (в package.json: bun .next/standalone/server.js | tee server.log)</w:t>
              <w:br/>
            </w:r>
            <w:r>
              <w:rPr>
                <w:rFonts w:ascii="Consolas" w:hAnsi="Consolas" w:eastAsia="Consolas"/>
                <w:sz w:val="16"/>
              </w:rPr>
            </w:r>
          </w:p>
        </w:tc>
      </w:tr>
    </w:tbl>
    <w:p>
      <w:pPr>
        <w:pStyle w:val="CaptionSmall"/>
      </w:pPr>
      <w:r>
        <w:t>Рис. 11.2. Production-сборка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tcBorders>
              <w:top w:val="single" w:sz="4" w:color="B45309"/>
              <w:bottom w:val="single" w:sz="4" w:color="B45309"/>
              <w:right w:val="single" w:sz="4" w:color="B45309"/>
              <w:left w:val="single" w:sz="18" w:color="B45309"/>
            </w:tcBorders>
            <w:shd w:val="clear" w:color="auto" w:fill="FFF7E6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Особенность Windows.</w:t>
            </w:r>
            <w:r>
              <w:rPr>
                <w:b w:val="0"/>
                <w:color w:val="0F172A"/>
                <w:sz w:val="19"/>
              </w:rPr>
              <w:t xml:space="preserve"> Скрипты `build` и `start` в package.json используют POSIX-команды (`cp`, `tee`, префиксные переменные). На Windows выполняйте `npx next build` и запускайте `.next/standalone/server.js` через `node` или `bun` с переменной окружения, установленной в PowerShell (`$env:NODE_ENV='production'`).</w:t>
            </w:r>
          </w:p>
        </w:tc>
      </w:tr>
    </w:tbl>
    <w:p>
      <w:pPr>
        <w:spacing w:after="40"/>
      </w:pPr>
    </w:p>
    <w:p>
      <w:r>
        <w:t>Caddy слушает порт 81 и проксирует на localhost:3000, добавляя X-Real-IP и X-Forwarded-For. Для TLS-termination на периметре достаточно изменить адрес в Caddyfile на домен.</w:t>
      </w:r>
    </w:p>
    <w:p>
      <w:pPr>
        <w:pStyle w:val="Heading2"/>
      </w:pPr>
      <w:r>
        <w:t>11.4. База данных и миграции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402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Команда</w:t>
            </w:r>
          </w:p>
        </w:tc>
        <w:tc>
          <w:tcPr>
            <w:tcW w:type="dxa" w:w="6009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Когда использовать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npm run db:generate</w:t>
            </w:r>
          </w:p>
        </w:tc>
        <w:tc>
          <w:tcPr>
            <w:tcW w:type="dxa" w:w="600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После изменения schema.prisma (генерация клиента)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npm run db:push</w:t>
            </w:r>
          </w:p>
        </w:tc>
        <w:tc>
          <w:tcPr>
            <w:tcW w:type="dxa" w:w="600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Локальная разработка; может потребовать --accept-data-loss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npm run db:migrate</w:t>
            </w:r>
          </w:p>
        </w:tc>
        <w:tc>
          <w:tcPr>
            <w:tcW w:type="dxa" w:w="600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Создание новой миграции в разработке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prisma migrate deploy</w:t>
            </w:r>
          </w:p>
        </w:tc>
        <w:tc>
          <w:tcPr>
            <w:tcW w:type="dxa" w:w="600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Промышленное применение миграций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npm run db:reset</w:t>
            </w:r>
          </w:p>
        </w:tc>
        <w:tc>
          <w:tcPr>
            <w:tcW w:type="dxa" w:w="600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Полный сброс (удаляет данные!) — только в тестовом контуре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tcBorders>
              <w:top w:val="single" w:sz="4" w:color="B91C1C"/>
              <w:bottom w:val="single" w:sz="4" w:color="B91C1C"/>
              <w:right w:val="single" w:sz="4" w:color="B91C1C"/>
              <w:left w:val="single" w:sz="18" w:color="B91C1C"/>
            </w:tcBorders>
            <w:shd w:val="clear" w:color="auto" w:fill="FEF2F2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  <w:t>db:reset и db:push --accept-data-loss удаляют данные.</w:t>
            </w:r>
            <w:r>
              <w:rPr>
                <w:b w:val="0"/>
                <w:color w:val="0F172A"/>
                <w:sz w:val="19"/>
              </w:rPr>
              <w:t xml:space="preserve"> В клиническом контуре они недопустимы; используйте только миграции и резервные копии.</w:t>
            </w:r>
          </w:p>
        </w:tc>
      </w:tr>
    </w:tbl>
    <w:p>
      <w:pPr>
        <w:spacing w:after="40"/>
      </w:pPr>
    </w:p>
    <w:p>
      <w:pPr>
        <w:pStyle w:val="Heading2"/>
      </w:pPr>
      <w:r>
        <w:t>11.5. Первичная инициализация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1. </w:t>
      </w:r>
      <w:r>
        <w:rPr>
          <w:b w:val="0"/>
          <w:sz w:val="21"/>
        </w:rPr>
        <w:t>Убедитесь, что JWT_SECRET и ENCRYPTION_KEY заданы (или дайте ensure-env.ts их создать).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2. </w:t>
      </w:r>
      <w:r>
        <w:rPr>
          <w:b w:val="0"/>
          <w:sz w:val="21"/>
        </w:rPr>
        <w:t>Откройте приложение и нажмите «Инициализировать систему» либо вызовите POST /api/auth/init.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3. </w:t>
      </w:r>
      <w:r>
        <w:rPr>
          <w:b w:val="0"/>
          <w:sz w:val="21"/>
        </w:rPr>
        <w:t>Сохраните одноразовый пароль администратора из ответа — он больше не показывается.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4. </w:t>
      </w:r>
      <w:r>
        <w:rPr>
          <w:b w:val="0"/>
          <w:sz w:val="21"/>
        </w:rPr>
        <w:t>Войдите и смените пароль; при необходимости включите REGISTRATION_OPEN на время.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5. </w:t>
      </w:r>
      <w:r>
        <w:rPr>
          <w:b w:val="0"/>
          <w:sz w:val="21"/>
        </w:rPr>
        <w:t>Проверьте /api/health: db=true, storage=true, rag/ddi/icd10=true; ai.ok зависит от модели.</w:t>
      </w:r>
    </w:p>
    <w:p>
      <w:pPr>
        <w:pStyle w:val="Heading2"/>
      </w:pPr>
      <w:r>
        <w:t>11.6. Резервное копирование и восстановление</w:t>
      </w:r>
    </w:p>
    <w:p>
      <w:r>
        <w:t>GET /api/backup (админ) формирует дамп и возвращает зашифрованный бинарный файл: магия SPPVR-BACKUP-V1, затем iv(16) + salt(32) + tag(16) + шифротекст AES-256-GCM. Расшифровка выполняется ключом ENCRYPTION_KEY текущей конфигурации.</w:t>
      </w:r>
    </w:p>
    <w:p>
      <w:r>
        <w:t>POST /api/backup принимает объект BackupData (JSON) и восстанавливает таблицы в транзакциях по таблицам. Важное следствие: зашифрованный .bin нельзя передать в этот endpoint напрямую — его нужно сначала расшифровать тем же ключом. Процедура восстановления должна быть отрепетирована заранее.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Храните копии вне сервера приложения и вне machine-тома контейнера.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Проверяйте восстановление на тестовом контуре не реже квартала.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Помните: ротация ENCRYPTION_KEY делает старые копии нечитаемыми (ожидаемое поведение).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Вложения private-storage необходимо копировать отдельно: дамп БД содержит только метаданные и пути.</w:t>
      </w:r>
    </w:p>
    <w:p>
      <w:pPr>
        <w:pStyle w:val="Heading2"/>
      </w:pPr>
      <w:r>
        <w:t>11.7. Ротация ключа шифрования</w:t>
      </w:r>
    </w:p>
    <w:p>
      <w:r>
        <w:t>Скрипт scripts/rotate-encryption-key.ts пере-шифровывает файлы private-storage со старого ключа на новый. Старый ключ передаётся аргументом командной строки и не пишется на диск; новый берётся из ENCRYPTION_KEY.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shd w:val="clear" w:color="auto" w:fill="F4F6F8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# Проверка без изменений</w:t>
              <w:br/>
            </w:r>
            <w:r>
              <w:rPr>
                <w:rFonts w:ascii="Consolas" w:hAnsi="Consolas" w:eastAsia="Consolas"/>
                <w:sz w:val="16"/>
              </w:rPr>
              <w:t>bun scripts/rotate-encryption-key.ts &lt;OLD_PASSPHRASE&gt; --dry-run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># Ротация</w:t>
              <w:br/>
            </w:r>
            <w:r>
              <w:rPr>
                <w:rFonts w:ascii="Consolas" w:hAnsi="Consolas" w:eastAsia="Consolas"/>
                <w:sz w:val="16"/>
              </w:rPr>
              <w:t>bun scripts/rotate-encryption-key.ts &lt;OLD_PASSPHRASE&gt;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># После успешной ротации обновите ENCRYPTION_KEY в .env и перезапустите приложение</w:t>
            </w:r>
          </w:p>
        </w:tc>
      </w:tr>
    </w:tbl>
    <w:p>
      <w:pPr>
        <w:pStyle w:val="CaptionSmall"/>
      </w:pPr>
      <w:r>
        <w:t>Рис. 11.3. Ротация ключа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tcBorders>
              <w:top w:val="single" w:sz="4" w:color="B45309"/>
              <w:bottom w:val="single" w:sz="4" w:color="B45309"/>
              <w:right w:val="single" w:sz="4" w:color="B45309"/>
              <w:left w:val="single" w:sz="18" w:color="B45309"/>
            </w:tcBorders>
            <w:shd w:val="clear" w:color="auto" w:fill="FFF7E6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9"/>
              </w:rPr>
              <w:t>Скрипт не пере-шифровывает резервные копии. Старые .bin-бэкапы после ротации станут нечитаемыми — это документированный компромисс.</w:t>
            </w:r>
          </w:p>
        </w:tc>
      </w:tr>
    </w:tbl>
    <w:p>
      <w:pPr>
        <w:spacing w:after="40"/>
      </w:pPr>
    </w:p>
    <w:p>
      <w:pPr>
        <w:pStyle w:val="Heading2"/>
      </w:pPr>
      <w:r>
        <w:t>11.8. Мониторинг и диагностика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06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Инструмент</w:t>
            </w:r>
          </w:p>
        </w:tc>
        <w:tc>
          <w:tcPr>
            <w:tcW w:type="dxa" w:w="6350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Что показывает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GET /api/health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db, ai.provider/latency, storage, rag, ddi, icd10, network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GET /api/network/status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Онлайн/офлайн, последняя ошибка, состояние цепи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GET /api/logs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Системные логи по уровню и категории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GET /api/audit + /verify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Действия пользователей и целостность цепочки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Индикатор в шапке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Статус системы и доступность ИИ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server.log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Вывод standalone-сервера (при запуске через tee)</w:t>
            </w:r>
          </w:p>
        </w:tc>
      </w:tr>
    </w:tbl>
    <w:p>
      <w:pPr>
        <w:spacing w:after="40"/>
      </w:pPr>
    </w:p>
    <w:p>
      <w:pPr>
        <w:pStyle w:val="Heading2"/>
      </w:pPr>
      <w:r>
        <w:t>11.9. Обновление версии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1. </w:t>
      </w:r>
      <w:r>
        <w:rPr>
          <w:b w:val="0"/>
          <w:sz w:val="21"/>
        </w:rPr>
        <w:t>Сделайте резервную копию БД и private-storage.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2. </w:t>
      </w:r>
      <w:r>
        <w:rPr>
          <w:b w:val="0"/>
          <w:sz w:val="21"/>
        </w:rPr>
        <w:t>Остановите приложение.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3. </w:t>
      </w:r>
      <w:r>
        <w:rPr>
          <w:b w:val="0"/>
          <w:sz w:val="21"/>
        </w:rPr>
        <w:t>Обновите код и зависимости (bun install / npm install).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4. </w:t>
      </w:r>
      <w:r>
        <w:rPr>
          <w:b w:val="0"/>
          <w:sz w:val="21"/>
        </w:rPr>
        <w:t>Примените миграции: prisma migrate deploy.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5. </w:t>
      </w:r>
      <w:r>
        <w:rPr>
          <w:b w:val="0"/>
          <w:sz w:val="21"/>
        </w:rPr>
        <w:t>Соберите приложение: npx next build.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6. </w:t>
      </w:r>
      <w:r>
        <w:rPr>
          <w:b w:val="0"/>
          <w:sz w:val="21"/>
        </w:rPr>
        <w:t>Запустите, проверьте /api/health и один тестовый анализ.</w:t>
      </w:r>
    </w:p>
    <w:p>
      <w:pPr>
        <w:pStyle w:val="Heading2"/>
      </w:pPr>
      <w:r>
        <w:t>11.10. Типовые проблемы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06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Симптом</w:t>
            </w:r>
          </w:p>
        </w:tc>
        <w:tc>
          <w:tcPr>
            <w:tcW w:type="dxa" w:w="306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Вероятная причина</w:t>
            </w:r>
          </w:p>
        </w:tc>
        <w:tc>
          <w:tcPr>
            <w:tcW w:type="dxa" w:w="3288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Действие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503 на всех маршрутах, кроме /api/health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JWT_SECRET отсутствует/слабый/скомпрометирован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Задать новый секрет ≥ 64 символов, перезапустить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«ИИ: ограничено»</w:t>
            </w:r>
          </w:p>
        </w:tc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llama-server/LM Studio недоступен или модель не загружена</w:t>
            </w:r>
          </w:p>
        </w:tc>
        <w:tc>
          <w:tcPr>
            <w:tcW w:type="dxa" w:w="328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Проверить порт, /v1/models, логи сервера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Анализ завершился без структуры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Структуризатор не вернул JSON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Повторить анализ; проверить качество модели и формат вывода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403 CONSENT_MISSING</w:t>
            </w:r>
          </w:p>
        </w:tc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Нет согласия ai_analysis</w:t>
            </w:r>
          </w:p>
        </w:tc>
        <w:tc>
          <w:tcPr>
            <w:tcW w:type="dxa" w:w="328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Зафиксировать согласие в разделе «Согласия»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429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Превышен rate limit (20/мин auth или 300/мин API)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Подождать минуту; проверить источник запросов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Файл не скачивается</w:t>
            </w:r>
          </w:p>
        </w:tc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Ключ ENCRYPTION_KEY изменён без ротации</w:t>
            </w:r>
          </w:p>
        </w:tc>
        <w:tc>
          <w:tcPr>
            <w:tcW w:type="dxa" w:w="328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Восстановить ключ или выполнить ротацию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Пустые справочники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Не выполнена инициализация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POST /api/auth/init или /api/seed (админ)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Медленный анализ</w:t>
            </w:r>
          </w:p>
        </w:tc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CPU-инференс, длинный контекст, два прохода</w:t>
            </w:r>
          </w:p>
        </w:tc>
        <w:tc>
          <w:tcPr>
            <w:tcW w:type="dxa" w:w="3288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GPU, меньший контекст, отключить самопроверку (не рекомендуется)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6" w:color="14B8A6"/>
        </w:pBdr>
      </w:pPr>
      <w:r>
        <w:t>12. Тестирование и качество</w:t>
      </w:r>
    </w:p>
    <w:p>
      <w:pPr>
        <w:pStyle w:val="Heading2"/>
      </w:pPr>
      <w:r>
        <w:t>12.1. Инструменты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06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Команда</w:t>
            </w:r>
          </w:p>
        </w:tc>
        <w:tc>
          <w:tcPr>
            <w:tcW w:type="dxa" w:w="6350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Что проверяет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npm run typecheck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tsc --noEmit, строгая типизация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npm run lint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ESLint (Next.js core-web-vitals + TypeScript)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npm test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Vitest, модульные тесты (*.test.ts в src)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npx next build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Сборка, серверные/клиентские границы, статические маршруты</w:t>
            </w:r>
          </w:p>
        </w:tc>
      </w:tr>
    </w:tbl>
    <w:p>
      <w:pPr>
        <w:spacing w:after="40"/>
      </w:pPr>
    </w:p>
    <w:p>
      <w:pPr>
        <w:pStyle w:val="Heading2"/>
      </w:pPr>
      <w:r>
        <w:t>12.2. Текущее состояние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7030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Результат на дату документа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typecheck</w:t>
            </w:r>
          </w:p>
        </w:tc>
        <w:tc>
          <w:tcPr>
            <w:tcW w:type="dxa" w:w="703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Без ошибок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vitest</w:t>
            </w:r>
          </w:p>
        </w:tc>
        <w:tc>
          <w:tcPr>
            <w:tcW w:type="dxa" w:w="703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5 файлов, 63 теста — все проходят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next build</w:t>
            </w:r>
          </w:p>
        </w:tc>
        <w:tc>
          <w:tcPr>
            <w:tcW w:type="dxa" w:w="7030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Успешно, standalone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eslint</w:t>
            </w:r>
          </w:p>
        </w:tc>
        <w:tc>
          <w:tcPr>
            <w:tcW w:type="dxa" w:w="7030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1 ошибка в исходном коде (login-dialog.tsx:66, правило React Compiler; существовала до v5.2) и 101 warning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tcBorders>
              <w:top w:val="single" w:sz="4" w:color="1D4ED8"/>
              <w:bottom w:val="single" w:sz="4" w:color="1D4ED8"/>
              <w:right w:val="single" w:sz="4" w:color="1D4ED8"/>
              <w:left w:val="single" w:sz="18" w:color="1D4ED8"/>
            </w:tcBorders>
            <w:shd w:val="clear" w:color="auto" w:fill="EFF6FF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9"/>
              </w:rPr>
              <w:t>ESLint проверяет и служебные .cjs-файлы в корне. Держите корень репозитория свободным от временных скриптов, иначе они попадут в отчёт линтера.</w:t>
            </w:r>
          </w:p>
        </w:tc>
      </w:tr>
    </w:tbl>
    <w:p>
      <w:pPr>
        <w:spacing w:after="40"/>
      </w:pPr>
    </w:p>
    <w:p>
      <w:pPr>
        <w:pStyle w:val="Heading2"/>
      </w:pPr>
      <w:r>
        <w:t>12.3. Покрытие тестами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51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Файл</w:t>
            </w:r>
          </w:p>
        </w:tc>
        <w:tc>
          <w:tcPr>
            <w:tcW w:type="dxa" w:w="5896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Что проверяет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src/lib/workup.test.ts</w:t>
            </w:r>
          </w:p>
        </w:tc>
        <w:tc>
          <w:tcPr>
            <w:tcW w:type="dxa" w:w="589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Ключи трекера, разбор референсов, сравнение результата, прогресс, экспорт плана</w:t>
            </w:r>
          </w:p>
        </w:tc>
      </w:tr>
      <w:tr>
        <w:trPr>
          <w:cantSplit w:val="true"/>
        </w:trPr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src/lib/clinical-audit.test.ts</w:t>
            </w:r>
          </w:p>
        </w:tc>
        <w:tc>
          <w:tcPr>
            <w:tcW w:type="dxa" w:w="589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26 правил: полнота ряда, вероятности, дубли, дозы, аллергии, сортировка замечаний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src/lib/clinical-normalize.test.ts</w:t>
            </w:r>
          </w:p>
        </w:tc>
        <w:tc>
          <w:tcPr>
            <w:tcW w:type="dxa" w:w="589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Нормализация структуры, дедупликация, привязка targetDx, перенос решений врача, запись трекера</w:t>
            </w:r>
          </w:p>
        </w:tc>
      </w:tr>
      <w:tr>
        <w:trPr>
          <w:cantSplit w:val="true"/>
        </w:trPr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src/lib/validation.test.ts</w:t>
            </w:r>
          </w:p>
        </w:tc>
        <w:tc>
          <w:tcPr>
            <w:tcW w:type="dxa" w:w="589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Схемы валидации API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src/lib/crypto/cascade.test.ts</w:t>
            </w:r>
          </w:p>
        </w:tc>
        <w:tc>
          <w:tcPr>
            <w:tcW w:type="dxa" w:w="589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Каскадное шифрование/расшифрование</w:t>
            </w:r>
          </w:p>
        </w:tc>
      </w:tr>
    </w:tbl>
    <w:p>
      <w:pPr>
        <w:spacing w:after="40"/>
      </w:pPr>
    </w:p>
    <w:p>
      <w:pPr>
        <w:pStyle w:val="Heading2"/>
      </w:pPr>
      <w:r>
        <w:t>12.4. Рекомендации по расширению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E2E-тесты критических сценариев (вход → кейс → анализ → подтверждение → отчёт) на Playwright.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Контрактные тесты API (схемы ответов) и тесты прав доступа для каждого маршрута.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Регрессионный набор клинических кейсов с эталонными заключениями (golden set) для оценки модели.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Нагрузочные тесты LLM-конвейера и тайм-аутов.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Проверка восстановления из резервной копии в CI.</w:t>
      </w:r>
    </w:p>
    <w:p>
      <w:pPr>
        <w:pStyle w:val="Heading1"/>
        <w:pageBreakBefore/>
        <w:pBdr>
          <w:bottom w:val="single" w:sz="8" w:space="6" w:color="14B8A6"/>
        </w:pBdr>
      </w:pPr>
      <w:r>
        <w:t>13. Ограничения и направления развития</w:t>
      </w:r>
    </w:p>
    <w:p>
      <w:pPr>
        <w:pStyle w:val="Heading2"/>
      </w:pPr>
      <w:r>
        <w:t>13.1. Известные ограничения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Ограничение</w:t>
            </w:r>
          </w:p>
        </w:tc>
        <w:tc>
          <w:tcPr>
            <w:tcW w:type="dxa" w:w="3402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Последствие</w:t>
            </w:r>
          </w:p>
        </w:tc>
        <w:tc>
          <w:tcPr>
            <w:tcW w:type="dxa" w:w="317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Обходной путь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SQLite и один экземпляр приложения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Нет горизонтального масштабирования, rate limit в памяти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Вертикальное масштабирование; план миграции на PostgreSQL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Модель — источник ошибок</w:t>
            </w:r>
          </w:p>
        </w:tc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Возможны неверные утверждения и формат</w:t>
            </w:r>
          </w:p>
        </w:tc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Самопроверка, формальная проверка, подтверждение врачом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Нет интеграции с внешней МИС/ЕГИСЗ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Ручной ввод и экспорт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API и CSV/PDF; разработка коннекторов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Справочники демонстрационные</w:t>
            </w:r>
          </w:p>
        </w:tc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Непригодны для клинических решений</w:t>
            </w:r>
          </w:p>
        </w:tc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Заменить заверенными источниками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Восстановление бэкапа требует расшифровки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Процедура сложнее одного POST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Регламент и тренировка восстановления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Аудит без внешнего якоря</w:t>
            </w:r>
          </w:p>
        </w:tc>
        <w:tc>
          <w:tcPr>
            <w:tcW w:type="dxa" w:w="3402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Теоретически возможна согласованная подмена БД</w:t>
            </w:r>
          </w:p>
        </w:tc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Периодическая выгрузка хеша во внешний регистратор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Два дополнительных прохода LLM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Время анализа растёт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GPU, отключение самопроверки только осознанно</w:t>
            </w:r>
          </w:p>
        </w:tc>
      </w:tr>
    </w:tbl>
    <w:p>
      <w:pPr>
        <w:spacing w:after="40"/>
      </w:pPr>
    </w:p>
    <w:p>
      <w:pPr>
        <w:pStyle w:val="Heading2"/>
      </w:pPr>
      <w:r>
        <w:t>13.2. Чек-лист перед промышленной эксплуатацией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1. </w:t>
      </w:r>
      <w:r>
        <w:rPr>
          <w:b w:val="0"/>
          <w:sz w:val="21"/>
        </w:rPr>
        <w:t>Юридическая оценка: ФЗ-152, врачебная тайна, при необходимости — регистрация как медицинское изделие.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2. </w:t>
      </w:r>
      <w:r>
        <w:rPr>
          <w:b w:val="0"/>
          <w:sz w:val="21"/>
        </w:rPr>
        <w:t>Модель угроз и оценка соответствия для конкретного ЛПУ; проверка сетевого периметра.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3. </w:t>
      </w:r>
      <w:r>
        <w:rPr>
          <w:b w:val="0"/>
          <w:sz w:val="21"/>
        </w:rPr>
        <w:t>Замена демонстрационных справочников заверенными источниками; валидация клинических правил.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4. </w:t>
      </w:r>
      <w:r>
        <w:rPr>
          <w:b w:val="0"/>
          <w:sz w:val="21"/>
        </w:rPr>
        <w:t>Клиническая валидация на ретроспективном наборе кейсов; фиксация метрик и ограничений.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5. </w:t>
      </w:r>
      <w:r>
        <w:rPr>
          <w:b w:val="0"/>
          <w:sz w:val="21"/>
        </w:rPr>
        <w:t>Регламенты: доступ, согласия, резервное копирование, восстановление, ротация ключей, инциденты.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6. </w:t>
      </w:r>
      <w:r>
        <w:rPr>
          <w:b w:val="0"/>
          <w:sz w:val="21"/>
        </w:rPr>
        <w:t>Обучение врачей: трактовка вероятностей, обязательность подтверждения диагноза, работа с замечаниями.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7. </w:t>
      </w:r>
      <w:r>
        <w:rPr>
          <w:b w:val="0"/>
          <w:sz w:val="21"/>
        </w:rPr>
        <w:t>Мониторинг: health, аудит-цепочка, алерты на 5xx, свободное место, доступность LLM.</w:t>
      </w:r>
    </w:p>
    <w:p>
      <w:pPr>
        <w:spacing w:after="50"/>
        <w:ind w:left="312" w:hanging="312"/>
      </w:pPr>
      <w:r>
        <w:rPr>
          <w:b/>
          <w:color w:val="0F172A"/>
          <w:sz w:val="21"/>
        </w:rPr>
        <w:t xml:space="preserve">8. </w:t>
      </w:r>
      <w:r>
        <w:rPr>
          <w:b w:val="0"/>
          <w:sz w:val="21"/>
        </w:rPr>
        <w:t>Пилот с ограниченным кругом пользователей и последующим разбором расхождений.</w:t>
      </w:r>
    </w:p>
    <w:p>
      <w:pPr>
        <w:pStyle w:val="Heading2"/>
      </w:pPr>
      <w:r>
        <w:t>13.3. Направления развития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Интеграция с МИС/ЕГИСЗ и лабораторными системами (HL7 FHIR, ГИС ОМС).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Очередь заданий для длительного анализа и фоновая обработка.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Версионирование клинических правил и справочников с аудитом изменений.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Экспорт плана обследования в структурированном виде (FHIR ServiceRequest).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Расширение проверок безопасности: дозы по весу/СКФ, беременность, педиатрия.</w:t>
      </w:r>
    </w:p>
    <w:p>
      <w:pPr>
        <w:spacing w:after="50"/>
        <w:ind w:left="312" w:hanging="312"/>
      </w:pPr>
      <w:r>
        <w:rPr>
          <w:b w:val="0"/>
          <w:color w:val="0F766E"/>
          <w:sz w:val="21"/>
        </w:rPr>
        <w:t xml:space="preserve">•  </w:t>
      </w:r>
      <w:r>
        <w:rPr>
          <w:b w:val="0"/>
          <w:sz w:val="21"/>
        </w:rPr>
        <w:t>Подпись отчётов квалифицированной ЭП и долговременное хранение.</w:t>
      </w:r>
    </w:p>
    <w:p>
      <w:pPr>
        <w:pStyle w:val="Heading1"/>
        <w:pageBreakBefore/>
        <w:pBdr>
          <w:bottom w:val="single" w:sz="8" w:space="6" w:color="14B8A6"/>
        </w:pBdr>
      </w:pPr>
      <w:r>
        <w:t>Приложение A. Полный перечень endpoint'ов</w:t>
      </w:r>
    </w:p>
    <w:p>
      <w:r>
        <w:t>Таблица сгенерирована из структуры route-файлов. Доступ указан по правилам src/proxy.ts; внутри обработчика права могут проверяться дополнительно (владелец кейса, доступ к карте).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317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Путь</w:t>
            </w:r>
          </w:p>
        </w:tc>
        <w:tc>
          <w:tcPr>
            <w:tcW w:type="dxa" w:w="1134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Методы</w:t>
            </w:r>
          </w:p>
        </w:tc>
        <w:tc>
          <w:tcPr>
            <w:tcW w:type="dxa" w:w="351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Назначение</w:t>
            </w:r>
          </w:p>
        </w:tc>
        <w:tc>
          <w:tcPr>
            <w:tcW w:type="dxa" w:w="1587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Доступ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Служебная информация о сервисе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публичный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/api/health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Состояние БД, ИИ, хранилища, RAG, DDI, сети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публичный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/api/network/status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Состояние сети; POST запускает проверку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публичный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/api/auth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POST, GET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Вход, регистрация, смена пароля; GET — проверка сессии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публичный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/api/auth/init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Проверка и первичная инициализация системы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публичный (до создания админа)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/api/auth/key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POST, PUT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Ключевой материал E2EE: выдача, регистрация, обновление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/api/doctors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Список врачей; создание — админ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 публичный / POST админ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/api/doctors/[id]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PATCH, DELETE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Профиль врача, блокировка, удаление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 сессия / изменения админ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/api/cases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Список и создание кейсов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/api/cases/[id]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PATCH, DELETE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Кейс с анализом и отчётами; правка, удаление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владелец, админ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/api/cases/[id]/documents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Документы кейса: список, загрузка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владелец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/api/cases/[id]/documents/[docId]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DELETE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Скачивание (auth) и удаление документа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владелец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/api/cases/[id]/analyze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Запуск 10-шагового ИИ-анализа (нужно согласие)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владелец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/api/cases/[id]/analysis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Текущий результат анализа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доступ к кейсу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/api/cases/[id]/analysis/control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Подтверждение диагноза, статус трекера, комментарии, правка заключения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доступ к кейсу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/api/cases/[id]/analysis/versions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История версий анализа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доступ к кейсу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/api/cases/[id]/consents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POST, PATCH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Согласия пациента по кейсу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владелец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/api/cases/[id]/share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POST, DELETE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Совместный доступ к кейсу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владелец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/api/cases/[id]/reports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Отчёты: список и генерация PDF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владелец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/api/cases/[id]/therapy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Терапевтические рекомендации по кейсу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владелец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/api/cases/[id]/ddi-override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Обоснованное подтверждение взаимодействия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владелец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/api/reports/[id]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PATCH, DELETE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Отчёт: чтение/скачивание, правка, удаление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владелец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/api/reports/[id]/sign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Электронная подпись отчёта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/api/patients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Список и создание пациентов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/api/patients/[id]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PATCH, DELETE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Карта пациента (E2EE-поля), правка, удаление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доступ к карте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/api/patients/[id]/visits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Визиты и SOAP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доступ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/api/patients/[id]/vitals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Витальные показатели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доступ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/api/patients/[id]/medications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Назначения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доступ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/api/patients/[id]/labs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Лабораторные результаты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доступ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/api/patients/[id]/problems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Проблемный лист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доступ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/api/patients/[id]/immunizations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Прививки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доступ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/api/patients/[id]/careplans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Планы ведения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доступ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/api/patients/[id]/examinations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Обследования пациента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доступ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/api/examinations/[id]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PATCH, DELETE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Обновление/удаление обследования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/api/patients/[id]/grants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POST, DELETE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Выдача и отзыв доступа к карте (PDEK/X25519)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владелец карты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/api/patients/[id]/health-score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Композитный индекс здоровья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доступ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/api/patients/[id]/ddi-overview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Сводка взаимодействий по активной терапии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доступ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/api/patients/[id]/med-check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Проверка назначений (DDI, дозы, дубли)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 / доступ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/api/health-scores-batch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Индекс здоровья для списка пациентов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/api/knowledge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Поиск по базе знаний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/api/knowledge/documents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Документы знаний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/api/knowledge/documents/[id]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DELETE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Документ знаний и его удаление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/api/minzdrav/clinrecs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Поиск КР Минздрава по теме/МКБ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/api/minzdrav/clinrecs/[codeVersion]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Полный текст КР по коду и версии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/api/minzdrav/mkb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Справочник МКБ-10 из репозитория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/api/web-rag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Контекст КР + международных источников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/api/icd10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Поиск кодов МКБ-10; сохранение выбранного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 публичный / POST сессия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/api/pathways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Клинические пути и сопоставление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 публичный / POST сессия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/api/recommendations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Локальные клинические рекомендации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публичный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/api/ddi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Проверка взаимодействий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 публичный / POST сессия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/api/ddi/stream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Потоковая проверка взаимодействий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/api/ner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Локальная де-идентификация текста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/api/ai/chat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Чат с локальной моделью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/api/ai/differential-diagnosis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Отдельный запрос дифференциального диагноза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/api/ai/drug-check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ИИ-проверка препарата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/api/ai/lab-interpretation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ИИ-интерпретация лабораторных значений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/api/chat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Расширенный чат с контекстом кейса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/api/clinical-reminders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Клинические напоминания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/api/analytics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Агрегированная аналитика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/api/search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Глобальный поиск (scoped по врачу)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/api/notifications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DELETE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Уведомления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/api/notifications/[id]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PATCH, DELETE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Отметка прочтения, удаление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сессия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/api/templates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Шаблоны отчётов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 публичный / POST админ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/api/templates/[id]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PATCH, DELETE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Шаблон отчёта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 сессия / изменения админ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/api/seed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Статус и запуск сидирования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 сессия / POST админ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/api/seed-templates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Создание шаблонов отчётов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админ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/api/encryption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Состояние и шифрование файлов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админ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/api/logs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DELETE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Системные логи, очистка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админ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/api/backup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GET, POST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Резервная копия и восстановление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админ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/api/audit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Журнал аудита с фильтрами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админ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/api/audit/verify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Проверка хеш-цепочки аудита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админ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/api/audit/export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Экспорт журнала (CSV/JSON)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3"/>
              </w:rPr>
              <w:t>админ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6" w:color="14B8A6"/>
        </w:pBdr>
      </w:pPr>
      <w:r>
        <w:t>Приложение B. Сводка переменных окружения</w:t>
      </w:r>
    </w:p>
    <w:p>
      <w:r>
        <w:t>Полная таблица — в разделе 11.2. Ниже — минимальный набор для запуска и типовые ошибки конфигурации.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855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Минимум для запуска</w:t>
            </w:r>
          </w:p>
        </w:tc>
        <w:tc>
          <w:tcPr>
            <w:tcW w:type="dxa" w:w="5556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Комментарий</w:t>
            </w:r>
          </w:p>
        </w:tc>
      </w:tr>
      <w:tr>
        <w:trPr>
          <w:cantSplit w:val="true"/>
        </w:trPr>
        <w:tc>
          <w:tcPr>
            <w:tcW w:type="dxa" w:w="385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DATABASE_URL</w:t>
            </w:r>
          </w:p>
        </w:tc>
        <w:tc>
          <w:tcPr>
            <w:tcW w:type="dxa" w:w="555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Можно не задавать: db.ts подставит &lt;проект&gt;/db/custom.db</w:t>
            </w:r>
          </w:p>
        </w:tc>
      </w:tr>
      <w:tr>
        <w:trPr>
          <w:cantSplit w:val="true"/>
        </w:trPr>
        <w:tc>
          <w:tcPr>
            <w:tcW w:type="dxa" w:w="385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JWT_SECRET</w:t>
            </w:r>
          </w:p>
        </w:tc>
        <w:tc>
          <w:tcPr>
            <w:tcW w:type="dxa" w:w="555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≥ 64 символов; иначе приложение не стартует</w:t>
            </w:r>
          </w:p>
        </w:tc>
      </w:tr>
      <w:tr>
        <w:trPr>
          <w:cantSplit w:val="true"/>
        </w:trPr>
        <w:tc>
          <w:tcPr>
            <w:tcW w:type="dxa" w:w="385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ENCRYPTION_KEY</w:t>
            </w:r>
          </w:p>
        </w:tc>
        <w:tc>
          <w:tcPr>
            <w:tcW w:type="dxa" w:w="555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≥ 64 символов; смена без ротации делает старые файлы нечитаемыми</w:t>
            </w:r>
          </w:p>
        </w:tc>
      </w:tr>
      <w:tr>
        <w:trPr>
          <w:cantSplit w:val="true"/>
        </w:trPr>
        <w:tc>
          <w:tcPr>
            <w:tcW w:type="dxa" w:w="3855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AI_PROVIDER + URL</w:t>
            </w:r>
          </w:p>
        </w:tc>
        <w:tc>
          <w:tcPr>
            <w:tcW w:type="dxa" w:w="555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llama-server :8080 или LM Studio :1234</w:t>
            </w:r>
          </w:p>
        </w:tc>
      </w:tr>
      <w:tr>
        <w:trPr>
          <w:cantSplit w:val="true"/>
        </w:trPr>
        <w:tc>
          <w:tcPr>
            <w:tcW w:type="dxa" w:w="3855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LLAMA_SERVER_MODEL / LM_STUDIO_MODEL</w:t>
            </w:r>
          </w:p>
        </w:tc>
        <w:tc>
          <w:tcPr>
            <w:tcW w:type="dxa" w:w="555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Пусто — берётся первая модель сервера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6" w:color="14B8A6"/>
        </w:pBdr>
      </w:pPr>
      <w:r>
        <w:t>Приложение C. Чек-лист приёмки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67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3969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4876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Ожидаемый результат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Первый запуск и инициализация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Создан админ, пароль показан один раз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Вход и смена пароля</w:t>
            </w:r>
          </w:p>
        </w:tc>
        <w:tc>
          <w:tcPr>
            <w:tcW w:type="dxa" w:w="487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JWT выдан, старый пароль недействителен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Загрузка выписки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Файл в private-storage, .enc и .meta созданы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Согласие ai_analysis</w:t>
            </w:r>
          </w:p>
        </w:tc>
        <w:tc>
          <w:tcPr>
            <w:tcW w:type="dxa" w:w="487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Без согласия анализ возвращает 403 CONSENT_MISSING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Запуск анализа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Кейс переходит в analyzed, версия = 1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Структурированный результат</w:t>
            </w:r>
          </w:p>
        </w:tc>
        <w:tc>
          <w:tcPr>
            <w:tcW w:type="dxa" w:w="487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Есть 3–5 гипотез, план, терапия, мониторинг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Подтверждение диагноза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Терапия разблокирована, запись в аудите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Трекер</w:t>
            </w:r>
          </w:p>
        </w:tc>
        <w:tc>
          <w:tcPr>
            <w:tcW w:type="dxa" w:w="487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Статус и результат сохраняются после перезагрузки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Повторный анализ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Версия = 2, подтверждения и отметки сохранены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Проверка аудита</w:t>
            </w:r>
          </w:p>
        </w:tc>
        <w:tc>
          <w:tcPr>
            <w:tcW w:type="dxa" w:w="487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/api/audit/verify возвращает ok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Экспорт отчёта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PDF с кириллицей и водяным знаком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969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Резервная копия</w:t>
            </w:r>
          </w:p>
        </w:tc>
        <w:tc>
          <w:tcPr>
            <w:tcW w:type="dxa" w:w="4876"/>
            <w:shd w:val="clear" w:color="auto" w:fill="F1F5F9"/>
          </w:tcPr>
          <w:p>
            <w:pPr>
              <w:spacing w:after="0" w:line="252" w:lineRule="auto"/>
            </w:pPr>
            <w:r>
              <w:rPr>
                <w:b w:val="0"/>
                <w:sz w:val="16"/>
              </w:rPr>
              <w:t>Файл .bin создаётся, процедура восстановления проверена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6" w:color="14B8A6"/>
        </w:pBdr>
      </w:pPr>
      <w:r>
        <w:t>Приложение D. История документа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361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Версия</w:t>
            </w:r>
          </w:p>
        </w:tc>
        <w:tc>
          <w:tcPr>
            <w:tcW w:type="dxa" w:w="1814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Дата</w:t>
            </w:r>
          </w:p>
        </w:tc>
        <w:tc>
          <w:tcPr>
            <w:tcW w:type="dxa" w:w="6236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Изменения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25.10.2026</w:t>
            </w:r>
          </w:p>
        </w:tc>
        <w:tc>
          <w:tcPr>
            <w:tcW w:type="dxa" w:w="6236"/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Первая редакция: архитектура, модель данных, API (121 endpoint), ИИ-конвейер v5.2, безопасность, эксплуатация</w:t>
            </w:r>
          </w:p>
        </w:tc>
      </w:tr>
    </w:tbl>
    <w:p>
      <w:pPr>
        <w:spacing w:after="40"/>
      </w:pPr>
    </w:p>
    <w:p>
      <w:r>
        <w:t>Документ подготовлен по исходному коду и результатам проверок на указанную дату. При существенных изменениях архитектуры, модели данных или API документ подлежит пересмотру.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20" w:left="1247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 xml:space="preserve">стр. </w:t>
    </w:r>
    <w:r/>
    <w:fldSimple w:instr="PAGE">
      <w:r>
        <w:t>1</w:t>
      </w:r>
    </w:fldSimple>
    <w:r>
      <w:rPr>
        <w:color w:val="475569"/>
        <w:sz w:val="16"/>
      </w:rPr>
      <w:t xml:space="preserve"> из </w:t>
    </w:r>
    <w:r/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CBD5E1"/>
      </w:pBdr>
      <w:jc w:val="right"/>
    </w:pPr>
    <w:r>
      <w:rPr>
        <w:color w:val="475569"/>
        <w:sz w:val="16"/>
      </w:rPr>
      <w:t>СППВР · Техническая документация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15E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2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  <w:ind w:left="198"/>
    </w:pPr>
    <w:rPr>
      <w:rFonts w:ascii="Consolas" w:hAnsi="Consolas"/>
      <w:color w:val="1F2937"/>
      <w:sz w:val="16"/>
    </w:rPr>
  </w:style>
  <w:style w:type="paragraph" w:customStyle="1" w:styleId="CaptionSmall">
    <w:name w:val="CaptionSmall"/>
    <w:pPr>
      <w:spacing w:before="40" w:after="160"/>
    </w:pPr>
    <w:rPr>
      <w:rFonts w:ascii="Calibri" w:hAnsi="Calibri"/>
      <w:i/>
      <w:color w:val="4755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