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AI USE LOG &amp; GOVERNANCE RECORD</w:t>
      </w:r>
    </w:p>
    <w:p>
      <w:pPr>
        <w:jc w:val="center"/>
      </w:pPr>
      <w:r>
        <w:rPr>
          <w:i/>
          <w:sz w:val="18"/>
        </w:rPr>
        <w:t>Honda Atlas Cars (Pakistan) Limited — Honda City 1.2L</w:t>
      </w:r>
    </w:p>
    <w:p>
      <w:r>
        <w:t>I used AI as an accelerator and reviewer, not as an authoritative source of Honda Atlas facts or as a substitute for checking the calculations. The work was followed in the sequence below so that the final dataset and recommendation could be audited.</w:t>
      </w:r>
    </w:p>
    <w:p>
      <w:r>
        <w:rPr>
          <w:b/>
          <w:color w:val="17365D"/>
        </w:rPr>
        <w:t>Step 1 — Read the assignment before building anything.</w:t>
      </w:r>
    </w:p>
    <w:p>
      <w:r>
        <w:t>I first used the Milestone 1 brief to identify the mandatory deliverables: one company/product decision, 104–156 weekly observations, data dictionary and assumptions, descriptive demand analysis, four or more forecasting methods, a common final-12-week holdout, the required error metrics, regression with at least three drivers, stress testing, an interactive dashboard, six-frame storyboard, one-page memo, validation note and AI Use Log. I also noted the required Error = Actual − Forecast convention and the exact synthetic-data disclosure sentence.</w:t>
      </w:r>
    </w:p>
    <w:p>
      <w:r>
        <w:rPr>
          <w:b/>
          <w:color w:val="17365D"/>
        </w:rPr>
        <w:t>Step 2 — Review the latest company evidence.</w:t>
      </w:r>
    </w:p>
    <w:p>
      <w:r>
        <w:t>I reviewed Honda Atlas Cars (Pakistan) Limited Annual Report 2026 rather than relying on generic company facts. The report shows FY2026 sales of 25,621 vehicles, production of 26,430, sales revenue of Rs 122,283 million, and a 50,000-vehicle annual plant capacity after double shift. It also records the 38-unit Honda City 1.2L export batch to Japan in March 2025. These facts were used only to calibrate scale and context; no internal City 1.2L sales were invented as real observations.</w:t>
      </w:r>
    </w:p>
    <w:p>
      <w:r>
        <w:rPr>
          <w:b/>
          <w:color w:val="17365D"/>
        </w:rPr>
        <w:t>Step 3 — Define the forecasting decision and data schema.</w:t>
      </w:r>
    </w:p>
    <w:p>
      <w:r>
        <w:t>The decision was framed as: how much Honda City 1.2L demand should be planned over the next 12 weeks in the synthetic scenario, and how much should be committed now versus kept flexible? I used weekly demand, a historical forecast, price index, promotion flag and depth, event flag, economic index, stockout flag and exceptional-event fields.</w:t>
      </w:r>
    </w:p>
    <w:p>
      <w:r>
        <w:rPr>
          <w:b/>
          <w:color w:val="17365D"/>
        </w:rPr>
        <w:t>Step 4 — Build the synthetic dataset.</w:t>
      </w:r>
    </w:p>
    <w:p>
      <w:r>
        <w:t>AI-assisted logic was used to construct a realistic company-calibrated synthetic series with level variation, imperfect promotion effects, holiday/event effects, price movement, stockouts and four exceptional events. I checked the series statistically and visually. The values are explicitly labeled synthetic and are not presented as Honda Atlas records.</w:t>
      </w:r>
    </w:p>
    <w:p>
      <w:r>
        <w:rPr>
          <w:b/>
          <w:color w:val="17365D"/>
        </w:rPr>
        <w:t>Step 5 — Freeze the dataset before model comparison.</w:t>
      </w:r>
    </w:p>
    <w:p>
      <w:r>
        <w:t>I froze the final demand values and final calendar index before model comparison. The synthetic history runs from April 2, 2023 to March 22, 2026. I did not regenerate or alter any demand values to improve model accuracy; the date range was chosen to align the academic scenario with the FY2026 company context.</w:t>
      </w:r>
    </w:p>
    <w:p>
      <w:r>
        <w:rPr>
          <w:b/>
          <w:color w:val="17365D"/>
        </w:rPr>
        <w:t>Step 6 — Check the demand pattern.</w:t>
      </w:r>
    </w:p>
    <w:p>
      <w:r>
        <w:t>I calculated mean, median, standard deviation, range and coefficient of variation; compared promotion versus non-promotion weeks; checked stockout weeks; inspected event timing; and created an annotated time-series chart. I documented the demand-pattern diagnosis and linked it to model choice.</w:t>
      </w:r>
    </w:p>
    <w:p>
      <w:r>
        <w:rPr>
          <w:b/>
          <w:color w:val="17365D"/>
        </w:rPr>
        <w:t>Step 7 — Demonstrate forecast-error fundamentals.</w:t>
      </w:r>
    </w:p>
    <w:p>
      <w:r>
        <w:t>I evaluated the synthetic historical forecast using Error = Actual − Forecast and calculated MAE/MAD, MAPE, RMSE, WAPE, Bias/MFE, RSFE and Tracking Signal. I then used the same formulas consistently for the candidate-model holdout results.</w:t>
      </w:r>
    </w:p>
    <w:p>
      <w:r>
        <w:rPr>
          <w:b/>
          <w:color w:val="17365D"/>
        </w:rPr>
        <w:t>Step 8 — Build competing forecasting models.</w:t>
      </w:r>
    </w:p>
    <w:p>
      <w:r>
        <w:t>I fitted Naive, Seasonal Naive (52), 4-week Moving Average, SES α=0.3, SES α=0.6, Holt and Holt-Winters Additive (52). Every model used the first 144 observations for fitting and the same final 12 observations for evaluation. The model comparison was not based on MAPE alone.</w:t>
      </w:r>
    </w:p>
    <w:p>
      <w:r>
        <w:rPr>
          <w:b/>
          <w:color w:val="17365D"/>
        </w:rPr>
        <w:t>Step 9 — Select the model using multiple criteria.</w:t>
      </w:r>
    </w:p>
    <w:p>
      <w:r>
        <w:t>SES α=0.6 had the lowest holdout MAE, RMSE and WAPE and was close to the best MAPE. Naive had a strong MAPE but a very large positive bias and Tracking Signal, so I did not select it. Seasonal Naive remained a close benchmark. This led to SES α=0.6 as the primary model with an explicit bias-monitoring trigger.</w:t>
      </w:r>
    </w:p>
    <w:p>
      <w:r>
        <w:rPr>
          <w:b/>
          <w:color w:val="17365D"/>
        </w:rPr>
        <w:t>Step 10 — Run the regression on training data only.</w:t>
      </w:r>
    </w:p>
    <w:p>
      <w:r>
        <w:t>I estimated a multiple regression of demand on Price Index, Promotion Flag, Event Flag and Economic Index using only the 144-week training set. I checked coefficient signs, magnitudes, p-values, R² and adjusted R² and rewrote the interpretation in plain business language. I used the word “associated” rather than claiming causation and documented omitted variables.</w:t>
      </w:r>
    </w:p>
    <w:p>
      <w:r>
        <w:rPr>
          <w:b/>
          <w:color w:val="17365D"/>
        </w:rPr>
        <w:t>Step 11 — Stress-test the decision, not just the forecast.</w:t>
      </w:r>
    </w:p>
    <w:p>
      <w:r>
        <w:t>I calculated downside -10%, upside +10%, a +20% first-three-week event shock and a 15% availability-loss scenario. During this audit I found an important inconsistency in the earlier package: the workbook still used a 792-unit base while the actual 12-week SES forecast summed to about 848 units. I corrected the scenario arithmetic across the workbook, dashboard, storyboard and memo. I also corrected the protected-capacity recommendation because 750 + 130 = 880 did not cover the +10% case of about 933 units. The corrected plan is 750 firm + 185 flexible = 935 protected units.</w:t>
      </w:r>
    </w:p>
    <w:p>
      <w:r>
        <w:rPr>
          <w:b/>
          <w:color w:val="17365D"/>
        </w:rPr>
        <w:t>Step 12 — Build the dashboard and storyboard.</w:t>
      </w:r>
    </w:p>
    <w:p>
      <w:r>
        <w:t>I structured the dashboard as PAST → FORECAST → ACCURACY → DRIVERS → UNCERTAINTY → DECISION and made the six storyboard frames tell one argument. I ensured training and holdout periods are labeled and the synthetic disclosure is visible.</w:t>
      </w:r>
    </w:p>
    <w:p>
      <w:r>
        <w:rPr>
          <w:b/>
          <w:color w:val="17365D"/>
        </w:rPr>
        <w:t>Step 13 — Perform the final audit.</w:t>
      </w:r>
    </w:p>
    <w:p>
      <w:r>
        <w:t>I checked date order, 144/12 separation, leakage, model metrics, regression coefficients, top-five misses, stress arithmetic, recommendation logic and consistency between the workbook, dashboard, storyboard, memo, validation note and AI log. I also fixed the optional Streamlit app so it imports NumPy and uses the corrected scenario label/quantities.</w:t>
      </w:r>
    </w:p>
    <w:p>
      <w:r>
        <w:rPr>
          <w:b/>
          <w:color w:val="17365D"/>
        </w:rPr>
        <w:t>Step 14 — Final transparency check.</w:t>
      </w:r>
    </w:p>
    <w:p>
      <w:r>
        <w:t>The final package clearly distinguishes real company facts from synthetic academic data. The Annual Report 2026 is the company source; the weekly City 1.2L history, historical forecasts, regression outputs and scenario quantities are synthetic. The recommendation is therefore a defensible academic planning simulation, not a claim about Honda Atlas internal demand.</w:t>
      </w:r>
    </w:p>
    <w:p>
      <w:r>
        <w:rPr>
          <w:i/>
        </w:rPr>
        <w:t>Tools used: ChatGPT for assignment interpretation, critique and drafting; Python/pandas/statsmodels/matplotlib for data checks, forecasting, regression and independent metric calculations; openpyxl for the analysis workbook; python-docx for the memo/validation/AI log; python-pptx for the storyboard; HTML/Plotly and Streamlit source for the dashboard.</w:t>
      </w:r>
    </w:p>
    <w:p>
      <w:r>
        <w:rPr>
          <w:b/>
          <w:color w:val="17365D"/>
        </w:rPr>
        <w:t>Representative prompts used</w:t>
      </w:r>
    </w:p>
    <w:p>
      <w:pPr>
        <w:pStyle w:val="ListBullet"/>
      </w:pPr>
      <w:r>
        <w:rPr>
          <w:b/>
        </w:rPr>
        <w:t xml:space="preserve">Assignment structure: </w:t>
      </w:r>
      <w:r>
        <w:t>Read the Portfolio Milestone 1 brief and turn every requirement into a checklist of analyses and deliverables.</w:t>
      </w:r>
    </w:p>
    <w:p>
      <w:pPr>
        <w:pStyle w:val="ListBullet"/>
      </w:pPr>
      <w:r>
        <w:rPr>
          <w:b/>
        </w:rPr>
        <w:t xml:space="preserve">Synthetic data: </w:t>
      </w:r>
      <w:r>
        <w:t>Generate a company-calibrated synthetic weekly demand dataset for Honda City 1.2L with price, promotion, event, economic, stockout and exceptional-event fields; keep relationships plausible and imperfect.</w:t>
      </w:r>
    </w:p>
    <w:p>
      <w:pPr>
        <w:pStyle w:val="ListBullet"/>
      </w:pPr>
      <w:r>
        <w:rPr>
          <w:b/>
        </w:rPr>
        <w:t xml:space="preserve">Forecasting: </w:t>
      </w:r>
      <w:r>
        <w:t>Build Naive, Seasonal Naive, 4-week Moving Average, SES at two alpha values, Holt and Holt-Winters using a common final 12-week holdout with Error = Actual − Forecast.</w:t>
      </w:r>
    </w:p>
    <w:p>
      <w:pPr>
        <w:pStyle w:val="ListBullet"/>
      </w:pPr>
      <w:r>
        <w:rPr>
          <w:b/>
        </w:rPr>
        <w:t xml:space="preserve">Regression: </w:t>
      </w:r>
      <w:r>
        <w:t>Run multiple regression on the training sample using Price Index, Promotion Flag, Event Flag and Economic Index; report coefficients, R², adjusted R² and p-values and explain associations without causal overclaiming.</w:t>
      </w:r>
    </w:p>
    <w:p>
      <w:pPr>
        <w:pStyle w:val="ListBullet"/>
      </w:pPr>
      <w:r>
        <w:rPr>
          <w:b/>
        </w:rPr>
        <w:t xml:space="preserve">Independent audit: </w:t>
      </w:r>
      <w:r>
        <w:t>Act as an independent forecasting auditor. Recalculate key metrics, check leakage, train/test separation, the five largest misses, regression interpretations and stress-test arithmetic. Reject the recommendation if the evidence is inconsistent.</w:t>
      </w:r>
    </w:p>
    <w:p/>
    <w:p>
      <w:r>
        <w:rPr>
          <w:b/>
        </w:rPr>
        <w:t>SUBMISSION INFORMATION</w:t>
      </w:r>
    </w:p>
    <w:p>
      <w:r>
        <w:rPr>
          <w:b/>
        </w:rPr>
        <w:t xml:space="preserve">Student: </w:t>
      </w:r>
      <w:r>
        <w:t>Syed Uzair Ali</w:t>
      </w:r>
    </w:p>
    <w:p>
      <w:r>
        <w:rPr>
          <w:b/>
        </w:rPr>
        <w:t xml:space="preserve">IBA ERP ID: </w:t>
      </w:r>
      <w:r>
        <w:t>24763</w:t>
      </w:r>
    </w:p>
    <w:p>
      <w:r>
        <w:rPr>
          <w:b/>
        </w:rPr>
        <w:t xml:space="preserve">Course: </w:t>
      </w:r>
      <w:r>
        <w:t>MGT-353 Supply Chain Analytics</w:t>
      </w:r>
    </w:p>
    <w:p>
      <w:r>
        <w:rPr>
          <w:b/>
        </w:rPr>
        <w:t xml:space="preserve">Instructor: </w:t>
      </w:r>
      <w:r>
        <w:t>Mr. Faisal Jalal</w:t>
      </w:r>
    </w:p>
    <w:p>
      <w:r>
        <w:rPr>
          <w:b/>
        </w:rPr>
        <w:t xml:space="preserve">Company: </w:t>
      </w:r>
      <w:r>
        <w:t>Honda Atlas Cars (Pakistan) Limited</w:t>
      </w:r>
    </w:p>
    <w:p>
      <w:r>
        <w:rPr>
          <w:b/>
        </w:rPr>
        <w:t xml:space="preserve">Forecast Object: </w:t>
      </w:r>
      <w:r>
        <w:t>Honda City 1.2L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