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7EB65" w14:textId="1AC29EFC" w:rsidR="00B86F0E" w:rsidRPr="005B4BF2" w:rsidRDefault="00000000" w:rsidP="005B4BF2">
      <w:pPr>
        <w:rPr>
          <w:b/>
          <w:bCs/>
        </w:rPr>
      </w:pPr>
      <w:r w:rsidRPr="005B4BF2">
        <w:rPr>
          <w:b/>
          <w:bCs/>
        </w:rPr>
        <w:t>EXECUTIVE DECISION MEMO</w:t>
      </w:r>
    </w:p>
    <w:p w14:paraId="07BE3565" w14:textId="77777777" w:rsidR="00B86F0E" w:rsidRDefault="00000000">
      <w:r>
        <w:rPr>
          <w:b/>
        </w:rPr>
        <w:t xml:space="preserve">To: </w:t>
      </w:r>
      <w:r>
        <w:t>Head of Supply Chain / Operations</w:t>
      </w:r>
    </w:p>
    <w:p w14:paraId="271323E8" w14:textId="77777777" w:rsidR="00B86F0E" w:rsidRDefault="00000000">
      <w:r>
        <w:rPr>
          <w:b/>
        </w:rPr>
        <w:t xml:space="preserve">Subject: </w:t>
      </w:r>
      <w:r>
        <w:t>12-week Honda City 1.2L synthetic demand-planning recommendation</w:t>
      </w:r>
    </w:p>
    <w:p w14:paraId="2455484F" w14:textId="77777777" w:rsidR="00B86F0E" w:rsidRDefault="00000000">
      <w:r>
        <w:rPr>
          <w:b/>
          <w:color w:val="17365D"/>
        </w:rPr>
        <w:t>Recommendation</w:t>
      </w:r>
    </w:p>
    <w:p w14:paraId="76C3CE0C" w14:textId="77777777" w:rsidR="00B86F0E" w:rsidRDefault="00000000">
      <w:r>
        <w:t>Plan the 12-week synthetic scenario around approximately 848 units of expected Honda City 1.2L demand. Firmly commit 750 units and retain 185 units of flexible production/procurement capacity, giving 935 units of protected planning capacity. This covers the +10% upside case of approximately 933 units.</w:t>
      </w:r>
    </w:p>
    <w:p w14:paraId="50C489E9" w14:textId="77777777" w:rsidR="00B86F0E" w:rsidRDefault="00000000">
      <w:r>
        <w:rPr>
          <w:b/>
          <w:color w:val="17365D"/>
        </w:rPr>
        <w:t>Evidence</w:t>
      </w:r>
    </w:p>
    <w:p w14:paraId="1EEB8AAF" w14:textId="77777777" w:rsidR="00B86F0E" w:rsidRDefault="00000000">
      <w:r>
        <w:t>The 156-week synthetic history averages 71.7 units/week. On the common unseen 12-week holdout, SES α=0.6 has the lowest MAE (7.4), RMSE (8.4) and WAPE (12.2%), while MAPE is 12.6%. The regression shows negative price association and positive promotion/event associations, with R² = 0.463.</w:t>
      </w:r>
    </w:p>
    <w:p w14:paraId="4D3429A6" w14:textId="77777777" w:rsidR="00B86F0E" w:rsidRDefault="00000000">
      <w:r>
        <w:rPr>
          <w:b/>
          <w:color w:val="17365D"/>
        </w:rPr>
        <w:t>Risk</w:t>
      </w:r>
    </w:p>
    <w:p w14:paraId="652EA97B" w14:textId="77777777" w:rsidR="00B86F0E" w:rsidRDefault="00000000">
      <w:r>
        <w:t>The selected model has Tracking Signal -3.0, indicating some over-forecast drift under Error = Actual − Forecast. The largest misses include a stockout week and sudden short-term changes. A 15% availability loss would leave about 721 serviceable units, creating an estimated 127-unit gap versus base demand.</w:t>
      </w:r>
    </w:p>
    <w:p w14:paraId="4A28CE44" w14:textId="77777777" w:rsidR="00B86F0E" w:rsidRDefault="00000000">
      <w:r>
        <w:rPr>
          <w:b/>
          <w:color w:val="17365D"/>
        </w:rPr>
        <w:t>Action / trigger</w:t>
      </w:r>
    </w:p>
    <w:p w14:paraId="1A7DE6D7" w14:textId="77777777" w:rsidR="00B86F0E" w:rsidRDefault="00000000">
      <w:r>
        <w:t>Use 750 units as the firm baseline and keep 185 units as an option rather than committing the full protected range immediately. Reforecast if actual demand differs from plan by more than 10% for two consecutive weeks, or if Tracking Signal shows sustained drift. Promotion/event plans should be communicated early to production and procurement.</w:t>
      </w:r>
    </w:p>
    <w:p w14:paraId="6B0D7B4D" w14:textId="77777777" w:rsidR="00B86F0E" w:rsidRDefault="00000000">
      <w:r>
        <w:rPr>
          <w:b/>
          <w:color w:val="17365D"/>
        </w:rPr>
        <w:t>Important limitation</w:t>
      </w:r>
    </w:p>
    <w:p w14:paraId="7F4037D3" w14:textId="77777777" w:rsidR="00B86F0E" w:rsidRDefault="00000000">
      <w:r>
        <w:t>All weekly City 1.2L demand, historical forecasts, regression outputs and scenario quantities are synthetic academic constructs. They are not Honda Atlas internal records. The Annual Report 2026 is used only to calibrate company scale, capacity and disclosed context.</w:t>
      </w:r>
    </w:p>
    <w:p w14:paraId="5DAA876C" w14:textId="77777777" w:rsidR="00B86F0E" w:rsidRDefault="00000000">
      <w:r>
        <w:rPr>
          <w:b/>
        </w:rPr>
        <w:t xml:space="preserve">Source: </w:t>
      </w:r>
      <w:r w:rsidRPr="005B4BF2">
        <w:rPr>
          <w:i/>
          <w:iCs/>
        </w:rPr>
        <w:t>Honda Atlas Cars (Pakistan) Limited, Annual Report 2026, pp. 28–30, 184; company profile pp. 2–3.</w:t>
      </w:r>
    </w:p>
    <w:p w14:paraId="721A181E" w14:textId="77777777" w:rsidR="00B86F0E" w:rsidRDefault="00B86F0E"/>
    <w:p w14:paraId="6E1C2797" w14:textId="77777777" w:rsidR="00B86F0E" w:rsidRDefault="00000000">
      <w:r>
        <w:rPr>
          <w:b/>
        </w:rPr>
        <w:t>SUBMISSION INFORMATION</w:t>
      </w:r>
    </w:p>
    <w:p w14:paraId="4927ACE3" w14:textId="77777777" w:rsidR="00B86F0E" w:rsidRDefault="00000000">
      <w:r>
        <w:rPr>
          <w:b/>
        </w:rPr>
        <w:t xml:space="preserve">Student: </w:t>
      </w:r>
      <w:r>
        <w:t>Syed Uzair Ali</w:t>
      </w:r>
    </w:p>
    <w:p w14:paraId="12206300" w14:textId="77777777" w:rsidR="00B86F0E" w:rsidRDefault="00000000">
      <w:r>
        <w:rPr>
          <w:b/>
        </w:rPr>
        <w:t xml:space="preserve">IBA ERP ID: </w:t>
      </w:r>
      <w:r>
        <w:t>24763</w:t>
      </w:r>
    </w:p>
    <w:p w14:paraId="7F82A501" w14:textId="77777777" w:rsidR="00B86F0E" w:rsidRDefault="00000000">
      <w:r>
        <w:rPr>
          <w:b/>
        </w:rPr>
        <w:t xml:space="preserve">Course: </w:t>
      </w:r>
      <w:r>
        <w:t>MGT-353 Supply Chain Analytics</w:t>
      </w:r>
    </w:p>
    <w:p w14:paraId="5201056F" w14:textId="77777777" w:rsidR="00B86F0E" w:rsidRDefault="00000000">
      <w:r>
        <w:rPr>
          <w:b/>
        </w:rPr>
        <w:t xml:space="preserve">Instructor: </w:t>
      </w:r>
      <w:r>
        <w:t>Mr. Faisal Jalal</w:t>
      </w:r>
    </w:p>
    <w:p w14:paraId="0C3A46B9" w14:textId="77777777" w:rsidR="00B86F0E" w:rsidRDefault="00000000">
      <w:r>
        <w:rPr>
          <w:b/>
        </w:rPr>
        <w:t xml:space="preserve">Company: </w:t>
      </w:r>
      <w:r>
        <w:t>Honda Atlas Cars (Pakistan) Limited</w:t>
      </w:r>
    </w:p>
    <w:p w14:paraId="32B7E10E" w14:textId="77777777" w:rsidR="00B86F0E" w:rsidRDefault="00000000">
      <w:r>
        <w:rPr>
          <w:b/>
        </w:rPr>
        <w:t xml:space="preserve">Forecast Object: </w:t>
      </w:r>
      <w:r>
        <w:t>Honda City 1.2L</w:t>
      </w:r>
    </w:p>
    <w:sectPr w:rsidR="00B86F0E"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9329649">
    <w:abstractNumId w:val="8"/>
  </w:num>
  <w:num w:numId="2" w16cid:durableId="1820612778">
    <w:abstractNumId w:val="6"/>
  </w:num>
  <w:num w:numId="3" w16cid:durableId="1904483224">
    <w:abstractNumId w:val="5"/>
  </w:num>
  <w:num w:numId="4" w16cid:durableId="461582549">
    <w:abstractNumId w:val="4"/>
  </w:num>
  <w:num w:numId="5" w16cid:durableId="1732999621">
    <w:abstractNumId w:val="7"/>
  </w:num>
  <w:num w:numId="6" w16cid:durableId="1374187148">
    <w:abstractNumId w:val="3"/>
  </w:num>
  <w:num w:numId="7" w16cid:durableId="1132599887">
    <w:abstractNumId w:val="2"/>
  </w:num>
  <w:num w:numId="8" w16cid:durableId="169681871">
    <w:abstractNumId w:val="1"/>
  </w:num>
  <w:num w:numId="9" w16cid:durableId="1141266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4BF2"/>
    <w:rsid w:val="006D1021"/>
    <w:rsid w:val="00AA1D8D"/>
    <w:rsid w:val="00B47730"/>
    <w:rsid w:val="00B86F0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446BED"/>
  <w14:defaultImageDpi w14:val="300"/>
  <w15:docId w15:val="{4418F95B-D93E-4A55-AC53-2C17531B5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303</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UZAIR ALI</cp:lastModifiedBy>
  <cp:revision>2</cp:revision>
  <dcterms:created xsi:type="dcterms:W3CDTF">2013-12-23T23:15:00Z</dcterms:created>
  <dcterms:modified xsi:type="dcterms:W3CDTF">2026-10-12T14:43:00Z</dcterms:modified>
  <cp:category/>
</cp:coreProperties>
</file>