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VALIDATION NOTE</w:t>
      </w:r>
    </w:p>
    <w:p>
      <w:pPr>
        <w:jc w:val="center"/>
      </w:pPr>
      <w:r>
        <w:rPr>
          <w:i/>
          <w:sz w:val="18"/>
        </w:rPr>
        <w:t>Honda Atlas Cars (Pakistan) Limited — Honda City 1.2L</w:t>
      </w:r>
    </w:p>
    <w:p>
      <w:r>
        <w:rPr>
          <w:b/>
          <w:color w:val="17365D"/>
        </w:rPr>
        <w:t>Holdout design</w:t>
      </w:r>
    </w:p>
    <w:p>
      <w:r>
        <w:t>The frozen dataset contains 156 weekly observations. Weeks 1–144 (2023-04-02 to 2025-12-28) were used for model fitting. The final 12 weeks (2026-01-04 to 2026-03-22) were held out completely for evaluation. Every candidate model was compared on this identical unseen window.</w:t>
      </w:r>
    </w:p>
    <w:p>
      <w:r>
        <w:rPr>
          <w:b/>
          <w:color w:val="17365D"/>
        </w:rPr>
        <w:t>Leakage check</w:t>
      </w:r>
    </w:p>
    <w:p>
      <w:r>
        <w:t>Candidate time-series models were fitted only on the 144-week training sample. The 12 holdout actuals were not used to fit or recursively update the forecasts. Holdout actuals were revealed only after forecasts were generated, for error measurement and diagnosis.</w:t>
      </w:r>
    </w:p>
    <w:p>
      <w:r>
        <w:rPr>
          <w:b/>
          <w:color w:val="17365D"/>
        </w:rPr>
        <w:t>Metric convention</w:t>
      </w:r>
    </w:p>
    <w:p>
      <w:r>
        <w:t>Error = Actual − Forecast throughout. For the selected SES α=0.6 model, negative Bias (-1.83) and negative Tracking Signal (-2.95) therefore mean the model over-forecasted slightly on the holdout.</w:t>
      </w:r>
    </w:p>
    <w:p>
      <w:r>
        <w:rPr>
          <w:b/>
          <w:color w:val="17365D"/>
        </w:rPr>
        <w:t>Selected model performance</w:t>
      </w:r>
    </w:p>
    <w:p>
      <w:r>
        <w:t>SES α=0.6: MAE 7.44; MAPE 12.62%; RMSE 8.36; WAPE 12.24%; Bias -1.83; RSFE -21.99; Tracking Signal -2.95.</w:t>
      </w:r>
    </w:p>
    <w:p>
      <w:r>
        <w:rPr>
          <w:b/>
          <w:color w:val="17365D"/>
        </w:rPr>
        <w:t>Five largest misses</w:t>
      </w:r>
    </w:p>
    <w:p>
      <w:r>
        <w:t>The five largest absolute errors were inspected for promotion/event flags, stockouts and exceptional events. One major miss coincides with a synthetic stockout; other misses are mainly sudden short-term variation or model-response limitations. No suspiciously perfect accuracy was found.</w:t>
      </w:r>
    </w:p>
    <w:p>
      <w:r>
        <w:rPr>
          <w:b/>
          <w:color w:val="17365D"/>
        </w:rPr>
        <w:t>Independent audit conclusion</w:t>
      </w:r>
    </w:p>
    <w:p>
      <w:r>
        <w:t>The common holdout is unseen, the error convention is consistent, and the selected model wins on multiple primary accuracy measures. The recommendation is intentionally robust rather than point-forecast-only: it retains flexible capacity and has a quantitative review trigger.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17365D"/>
          </w:tcPr>
          <w:p>
            <w:r>
              <w:t>Week</w:t>
            </w:r>
          </w:p>
        </w:tc>
        <w:tc>
          <w:tcPr>
            <w:tcW w:type="dxa" w:w="1728"/>
            <w:shd w:fill="17365D"/>
          </w:tcPr>
          <w:p>
            <w:r>
              <w:t>Actual</w:t>
            </w:r>
          </w:p>
        </w:tc>
        <w:tc>
          <w:tcPr>
            <w:tcW w:type="dxa" w:w="1728"/>
            <w:shd w:fill="17365D"/>
          </w:tcPr>
          <w:p>
            <w:r>
              <w:t>Forecast</w:t>
            </w:r>
          </w:p>
        </w:tc>
        <w:tc>
          <w:tcPr>
            <w:tcW w:type="dxa" w:w="1728"/>
            <w:shd w:fill="17365D"/>
          </w:tcPr>
          <w:p>
            <w:r>
              <w:t>Error</w:t>
            </w:r>
          </w:p>
        </w:tc>
        <w:tc>
          <w:tcPr>
            <w:tcW w:type="dxa" w:w="1728"/>
            <w:shd w:fill="17365D"/>
          </w:tcPr>
          <w:p>
            <w:r>
              <w:t>Abs Error</w:t>
            </w:r>
          </w:p>
        </w:tc>
        <w:tc>
          <w:tcPr>
            <w:tcW w:type="dxa" w:w="1728"/>
            <w:shd w:fill="17365D"/>
          </w:tcPr>
          <w:p>
            <w:r>
              <w:t>Diagnosis</w:t>
            </w:r>
          </w:p>
        </w:tc>
      </w:tr>
      <w:tr>
        <w:tc>
          <w:tcPr>
            <w:tcW w:type="dxa" w:w="1728"/>
          </w:tcPr>
          <w:p>
            <w:r>
              <w:t>2026-03-22</w:t>
            </w:r>
          </w:p>
        </w:tc>
        <w:tc>
          <w:tcPr>
            <w:tcW w:type="dxa" w:w="1728"/>
          </w:tcPr>
          <w:p>
            <w:r>
              <w:t>75</w:t>
            </w:r>
          </w:p>
        </w:tc>
        <w:tc>
          <w:tcPr>
            <w:tcW w:type="dxa" w:w="1728"/>
          </w:tcPr>
          <w:p>
            <w:r>
              <w:t>62.7</w:t>
            </w:r>
          </w:p>
        </w:tc>
        <w:tc>
          <w:tcPr>
            <w:tcW w:type="dxa" w:w="1728"/>
          </w:tcPr>
          <w:p>
            <w:r>
              <w:t>12.3</w:t>
            </w:r>
          </w:p>
        </w:tc>
        <w:tc>
          <w:tcPr>
            <w:tcW w:type="dxa" w:w="1728"/>
          </w:tcPr>
          <w:p>
            <w:r>
              <w:t>12.3</w:t>
            </w:r>
          </w:p>
        </w:tc>
        <w:tc>
          <w:tcPr>
            <w:tcW w:type="dxa" w:w="1728"/>
          </w:tcPr>
          <w:p>
            <w:r>
              <w:t>Event effect / model response</w:t>
            </w:r>
          </w:p>
        </w:tc>
      </w:tr>
      <w:tr>
        <w:tc>
          <w:tcPr>
            <w:tcW w:type="dxa" w:w="1728"/>
          </w:tcPr>
          <w:p>
            <w:r>
              <w:t>2026-01-11</w:t>
            </w:r>
          </w:p>
        </w:tc>
        <w:tc>
          <w:tcPr>
            <w:tcW w:type="dxa" w:w="1728"/>
          </w:tcPr>
          <w:p>
            <w:r>
              <w:t>52</w:t>
            </w:r>
          </w:p>
        </w:tc>
        <w:tc>
          <w:tcPr>
            <w:tcW w:type="dxa" w:w="1728"/>
          </w:tcPr>
          <w:p>
            <w:r>
              <w:t>62.7</w:t>
            </w:r>
          </w:p>
        </w:tc>
        <w:tc>
          <w:tcPr>
            <w:tcW w:type="dxa" w:w="1728"/>
          </w:tcPr>
          <w:p>
            <w:r>
              <w:t>-10.7</w:t>
            </w:r>
          </w:p>
        </w:tc>
        <w:tc>
          <w:tcPr>
            <w:tcW w:type="dxa" w:w="1728"/>
          </w:tcPr>
          <w:p>
            <w:r>
              <w:t>10.7</w:t>
            </w:r>
          </w:p>
        </w:tc>
        <w:tc>
          <w:tcPr>
            <w:tcW w:type="dxa" w:w="1728"/>
          </w:tcPr>
          <w:p>
            <w:r>
              <w:t>Model response / short-term variation</w:t>
            </w:r>
          </w:p>
        </w:tc>
      </w:tr>
      <w:tr>
        <w:tc>
          <w:tcPr>
            <w:tcW w:type="dxa" w:w="1728"/>
          </w:tcPr>
          <w:p>
            <w:r>
              <w:t>2026-02-08</w:t>
            </w:r>
          </w:p>
        </w:tc>
        <w:tc>
          <w:tcPr>
            <w:tcW w:type="dxa" w:w="1728"/>
          </w:tcPr>
          <w:p>
            <w:r>
              <w:t>52</w:t>
            </w:r>
          </w:p>
        </w:tc>
        <w:tc>
          <w:tcPr>
            <w:tcW w:type="dxa" w:w="1728"/>
          </w:tcPr>
          <w:p>
            <w:r>
              <w:t>62.7</w:t>
            </w:r>
          </w:p>
        </w:tc>
        <w:tc>
          <w:tcPr>
            <w:tcW w:type="dxa" w:w="1728"/>
          </w:tcPr>
          <w:p>
            <w:r>
              <w:t>-10.7</w:t>
            </w:r>
          </w:p>
        </w:tc>
        <w:tc>
          <w:tcPr>
            <w:tcW w:type="dxa" w:w="1728"/>
          </w:tcPr>
          <w:p>
            <w:r>
              <w:t>10.7</w:t>
            </w:r>
          </w:p>
        </w:tc>
        <w:tc>
          <w:tcPr>
            <w:tcW w:type="dxa" w:w="1728"/>
          </w:tcPr>
          <w:p>
            <w:r>
              <w:t>Stockout / availability constraint</w:t>
            </w:r>
          </w:p>
        </w:tc>
      </w:tr>
      <w:tr>
        <w:tc>
          <w:tcPr>
            <w:tcW w:type="dxa" w:w="1728"/>
          </w:tcPr>
          <w:p>
            <w:r>
              <w:t>2026-01-25</w:t>
            </w:r>
          </w:p>
        </w:tc>
        <w:tc>
          <w:tcPr>
            <w:tcW w:type="dxa" w:w="1728"/>
          </w:tcPr>
          <w:p>
            <w:r>
              <w:t>53</w:t>
            </w:r>
          </w:p>
        </w:tc>
        <w:tc>
          <w:tcPr>
            <w:tcW w:type="dxa" w:w="1728"/>
          </w:tcPr>
          <w:p>
            <w:r>
              <w:t>62.7</w:t>
            </w:r>
          </w:p>
        </w:tc>
        <w:tc>
          <w:tcPr>
            <w:tcW w:type="dxa" w:w="1728"/>
          </w:tcPr>
          <w:p>
            <w:r>
              <w:t>-9.7</w:t>
            </w:r>
          </w:p>
        </w:tc>
        <w:tc>
          <w:tcPr>
            <w:tcW w:type="dxa" w:w="1728"/>
          </w:tcPr>
          <w:p>
            <w:r>
              <w:t>9.7</w:t>
            </w:r>
          </w:p>
        </w:tc>
        <w:tc>
          <w:tcPr>
            <w:tcW w:type="dxa" w:w="1728"/>
          </w:tcPr>
          <w:p>
            <w:r>
              <w:t>Model response / short-term variation</w:t>
            </w:r>
          </w:p>
        </w:tc>
      </w:tr>
      <w:tr>
        <w:tc>
          <w:tcPr>
            <w:tcW w:type="dxa" w:w="1728"/>
          </w:tcPr>
          <w:p>
            <w:r>
              <w:t>2026-02-01</w:t>
            </w:r>
          </w:p>
        </w:tc>
        <w:tc>
          <w:tcPr>
            <w:tcW w:type="dxa" w:w="1728"/>
          </w:tcPr>
          <w:p>
            <w:r>
              <w:t>53</w:t>
            </w:r>
          </w:p>
        </w:tc>
        <w:tc>
          <w:tcPr>
            <w:tcW w:type="dxa" w:w="1728"/>
          </w:tcPr>
          <w:p>
            <w:r>
              <w:t>62.7</w:t>
            </w:r>
          </w:p>
        </w:tc>
        <w:tc>
          <w:tcPr>
            <w:tcW w:type="dxa" w:w="1728"/>
          </w:tcPr>
          <w:p>
            <w:r>
              <w:t>-9.7</w:t>
            </w:r>
          </w:p>
        </w:tc>
        <w:tc>
          <w:tcPr>
            <w:tcW w:type="dxa" w:w="1728"/>
          </w:tcPr>
          <w:p>
            <w:r>
              <w:t>9.7</w:t>
            </w:r>
          </w:p>
        </w:tc>
        <w:tc>
          <w:tcPr>
            <w:tcW w:type="dxa" w:w="1728"/>
          </w:tcPr>
          <w:p>
            <w:r>
              <w:t>Model response / short-term variation</w:t>
            </w:r>
          </w:p>
        </w:tc>
      </w:tr>
    </w:tbl>
    <w:p/>
    <w:p>
      <w:r>
        <w:rPr>
          <w:b/>
        </w:rPr>
        <w:t>SUBMISSION INFORMATION</w:t>
      </w:r>
    </w:p>
    <w:p>
      <w:r>
        <w:rPr>
          <w:b/>
        </w:rPr>
        <w:t xml:space="preserve">Student: </w:t>
      </w:r>
      <w:r>
        <w:t>Syed Uzair Ali</w:t>
      </w:r>
    </w:p>
    <w:p>
      <w:r>
        <w:rPr>
          <w:b/>
        </w:rPr>
        <w:t xml:space="preserve">IBA ERP ID: </w:t>
      </w:r>
      <w:r>
        <w:t>24763</w:t>
      </w:r>
    </w:p>
    <w:p>
      <w:r>
        <w:rPr>
          <w:b/>
        </w:rPr>
        <w:t xml:space="preserve">Course: </w:t>
      </w:r>
      <w:r>
        <w:t>MGT-353 Supply Chain Analytics</w:t>
      </w:r>
    </w:p>
    <w:p>
      <w:r>
        <w:rPr>
          <w:b/>
        </w:rPr>
        <w:t xml:space="preserve">Instructor: </w:t>
      </w:r>
      <w:r>
        <w:t>Mr. Faisal Jalal</w:t>
      </w:r>
    </w:p>
    <w:p>
      <w:r>
        <w:rPr>
          <w:b/>
        </w:rPr>
        <w:t xml:space="preserve">Company: </w:t>
      </w:r>
      <w:r>
        <w:t>Honda Atlas Cars (Pakistan) Limited</w:t>
      </w:r>
    </w:p>
    <w:p>
      <w:r>
        <w:rPr>
          <w:b/>
        </w:rPr>
        <w:t xml:space="preserve">Forecast Object: </w:t>
      </w:r>
      <w:r>
        <w:t>Honda City 1.2L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