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Banking Sector in Pune</w:t>
      </w:r>
    </w:p>
    <w:p>
      <w:pPr>
        <w:jc w:val="center"/>
      </w:pPr>
      <w:r>
        <w:rPr>
          <w:i/>
          <w:sz w:val="20"/>
        </w:rPr>
        <w:t>Financial Status, Profit &amp; Loss, and New Projects — 2025–26 / 2026</w:t>
      </w:r>
    </w:p>
    <w:p>
      <w:pPr>
        <w:spacing w:after="80" w:line="245" w:lineRule="auto"/>
      </w:pPr>
      <w:r>
        <w:t>Prepared as a concise business and financial overview of major banks operating in Pune and the Pune-region banking ecosystem. Figures are based on publicly available FY2025–26 results and 2026 updates; they describe the banks at national level where Pune-specific audited P&amp;L figures are not separately disclosed.</w:t>
      </w:r>
    </w:p>
    <w:p>
      <w:pPr>
        <w:pStyle w:val="Heading1"/>
        <w:spacing w:before="100" w:after="60"/>
      </w:pPr>
      <w:r>
        <w:t>1. Pune Banking Landscape</w:t>
      </w:r>
    </w:p>
    <w:p>
      <w:pPr>
        <w:spacing w:after="80" w:line="245" w:lineRule="auto"/>
      </w:pPr>
      <w:r>
        <w:t>Pune is one of Maharashtra’s major financial and commercial centres, supported by manufacturing, information technology, automotive, education, start-ups, real estate and a growing Global Capability Centre (GCC) ecosystem. The district administration lists major banking institutions including Axis Bank, HDFC Bank, Indian Overseas Bank, Bank of Maharashtra, Pune District Central Co-operative Bank (PDCC) and SBI branches. cite: Pune District Administration, Banks directory.</w:t>
      </w:r>
    </w:p>
    <w:p>
      <w:pPr>
        <w:spacing w:after="80" w:line="245" w:lineRule="auto"/>
      </w:pPr>
      <w:r>
        <w:t>The banking market can broadly be divided into public-sector banks, private-sector banks, foreign banks and cooperative banks. Bank of Maharashtra has a particularly strong Pune identity, while SBI, HDFC Bank, ICICI Bank and Axis Bank serve retail, SME, corporate and institutional customers. Cooperative institutions such as PDCC Bank have an important role in agriculture, rural credit and local businesses.</w:t>
      </w:r>
    </w:p>
    <w:p>
      <w:pPr>
        <w:pStyle w:val="Heading1"/>
        <w:spacing w:before="100" w:after="60"/>
      </w:pPr>
      <w:r>
        <w:t>2. Selected Banks and Their Financial Position</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7"/>
              </w:rPr>
              <w:t>Bank</w:t>
            </w:r>
          </w:p>
        </w:tc>
        <w:tc>
          <w:tcPr>
            <w:tcW w:type="dxa" w:w="3456"/>
          </w:tcPr>
          <w:p>
            <w:r>
              <w:rPr>
                <w:b/>
                <w:sz w:val="17"/>
              </w:rPr>
              <w:t>FY2025–26 / latest key figure</w:t>
            </w:r>
          </w:p>
        </w:tc>
        <w:tc>
          <w:tcPr>
            <w:tcW w:type="dxa" w:w="3456"/>
          </w:tcPr>
          <w:p>
            <w:r>
              <w:rPr>
                <w:b/>
                <w:sz w:val="17"/>
              </w:rPr>
              <w:t>Financial status</w:t>
            </w:r>
          </w:p>
        </w:tc>
      </w:tr>
      <w:tr>
        <w:tc>
          <w:tcPr>
            <w:tcW w:type="dxa" w:w="3456"/>
          </w:tcPr>
          <w:p>
            <w:r>
              <w:rPr>
                <w:sz w:val="16"/>
              </w:rPr>
              <w:t>State Bank of India (SBI)</w:t>
            </w:r>
          </w:p>
        </w:tc>
        <w:tc>
          <w:tcPr>
            <w:tcW w:type="dxa" w:w="3456"/>
          </w:tcPr>
          <w:p>
            <w:r>
              <w:rPr>
                <w:sz w:val="16"/>
              </w:rPr>
              <w:t>Net profit ₹80,032 cr; deposits ₹59.76 lakh cr; advances ₹48.78 lakh cr</w:t>
            </w:r>
          </w:p>
        </w:tc>
        <w:tc>
          <w:tcPr>
            <w:tcW w:type="dxa" w:w="3456"/>
          </w:tcPr>
          <w:p>
            <w:r>
              <w:rPr>
                <w:sz w:val="16"/>
              </w:rPr>
              <w:t>Strong scale; ROA 1.12%; CAR 15.40%</w:t>
            </w:r>
          </w:p>
        </w:tc>
      </w:tr>
      <w:tr>
        <w:tc>
          <w:tcPr>
            <w:tcW w:type="dxa" w:w="3456"/>
          </w:tcPr>
          <w:p>
            <w:r>
              <w:rPr>
                <w:sz w:val="16"/>
              </w:rPr>
              <w:t>ICICI Bank</w:t>
            </w:r>
          </w:p>
        </w:tc>
        <w:tc>
          <w:tcPr>
            <w:tcW w:type="dxa" w:w="3456"/>
          </w:tcPr>
          <w:p>
            <w:r>
              <w:rPr>
                <w:sz w:val="16"/>
              </w:rPr>
              <w:t>FY26 PAT ₹50,147 cr; deposits ₹17.95 lakh cr; loans ₹15.54 lakh cr</w:t>
            </w:r>
          </w:p>
        </w:tc>
        <w:tc>
          <w:tcPr>
            <w:tcW w:type="dxa" w:w="3456"/>
          </w:tcPr>
          <w:p>
            <w:r>
              <w:rPr>
                <w:sz w:val="16"/>
              </w:rPr>
              <w:t>Strong profitability; net NPA 0.33%; CAR 17.18%</w:t>
            </w:r>
          </w:p>
        </w:tc>
      </w:tr>
      <w:tr>
        <w:tc>
          <w:tcPr>
            <w:tcW w:type="dxa" w:w="3456"/>
          </w:tcPr>
          <w:p>
            <w:r>
              <w:rPr>
                <w:sz w:val="16"/>
              </w:rPr>
              <w:t>Axis Bank</w:t>
            </w:r>
          </w:p>
        </w:tc>
        <w:tc>
          <w:tcPr>
            <w:tcW w:type="dxa" w:w="3456"/>
          </w:tcPr>
          <w:p>
            <w:r>
              <w:rPr>
                <w:sz w:val="16"/>
              </w:rPr>
              <w:t>FY26 PAT ₹24,457 cr; deposits ₹13.36 lakh cr; advances ₹12.34 lakh cr</w:t>
            </w:r>
          </w:p>
        </w:tc>
        <w:tc>
          <w:tcPr>
            <w:tcW w:type="dxa" w:w="3456"/>
          </w:tcPr>
          <w:p>
            <w:r>
              <w:rPr>
                <w:sz w:val="16"/>
              </w:rPr>
              <w:t>Strong loan/deposit growth; net NPA 0.37%</w:t>
            </w:r>
          </w:p>
        </w:tc>
      </w:tr>
      <w:tr>
        <w:tc>
          <w:tcPr>
            <w:tcW w:type="dxa" w:w="3456"/>
          </w:tcPr>
          <w:p>
            <w:r>
              <w:rPr>
                <w:sz w:val="16"/>
              </w:rPr>
              <w:t>Bank of Maharashtra</w:t>
            </w:r>
          </w:p>
        </w:tc>
        <w:tc>
          <w:tcPr>
            <w:tcW w:type="dxa" w:w="3456"/>
          </w:tcPr>
          <w:p>
            <w:r>
              <w:rPr>
                <w:sz w:val="16"/>
              </w:rPr>
              <w:t>FY26 annual results released; Pune-headquartered public-sector bank</w:t>
            </w:r>
          </w:p>
        </w:tc>
        <w:tc>
          <w:tcPr>
            <w:tcW w:type="dxa" w:w="3456"/>
          </w:tcPr>
          <w:p>
            <w:r>
              <w:rPr>
                <w:sz w:val="16"/>
              </w:rPr>
              <w:t>Expansion, digital banking and SME/MSME focus</w:t>
            </w:r>
          </w:p>
        </w:tc>
      </w:tr>
      <w:tr>
        <w:tc>
          <w:tcPr>
            <w:tcW w:type="dxa" w:w="3456"/>
          </w:tcPr>
          <w:p>
            <w:r>
              <w:rPr>
                <w:sz w:val="16"/>
              </w:rPr>
              <w:t>PDCC Bank</w:t>
            </w:r>
          </w:p>
        </w:tc>
        <w:tc>
          <w:tcPr>
            <w:tcW w:type="dxa" w:w="3456"/>
          </w:tcPr>
          <w:p>
            <w:r>
              <w:rPr>
                <w:sz w:val="16"/>
              </w:rPr>
              <w:t>FY26 net profit ₹78.78 cr; deposits ₹17,189.13 cr; loans ₹13,578.61 cr</w:t>
            </w:r>
          </w:p>
        </w:tc>
        <w:tc>
          <w:tcPr>
            <w:tcW w:type="dxa" w:w="3456"/>
          </w:tcPr>
          <w:p>
            <w:r>
              <w:rPr>
                <w:sz w:val="16"/>
              </w:rPr>
              <w:t>Net NPA 0%; deposits and advances growing</w:t>
            </w:r>
          </w:p>
        </w:tc>
      </w:tr>
    </w:tbl>
    <w:p>
      <w:pPr>
        <w:spacing w:before="60"/>
      </w:pPr>
      <w:r>
        <w:rPr>
          <w:i/>
          <w:sz w:val="15"/>
        </w:rPr>
        <w:t>Sources: SBI Sustainability Report FY2025–26; ICICI Bank FY2026 performance review; Axis Bank FY2025–26 annual/quarterly results; PDCC Bank official financial-position data; Bank of Maharashtra investor disclosures.</w:t>
      </w:r>
    </w:p>
    <w:p>
      <w:pPr>
        <w:pStyle w:val="Heading1"/>
        <w:spacing w:before="100" w:after="60"/>
      </w:pPr>
      <w:r>
        <w:t>3. Profit &amp; Loss Overview</w:t>
      </w:r>
    </w:p>
    <w:p>
      <w:pPr>
        <w:spacing w:after="80" w:line="245" w:lineRule="auto"/>
      </w:pPr>
      <w:r>
        <w:t>For banks, the most important P&amp;L drivers are interest income from loans and investments, interest expense paid on deposits and borrowings, fee income, operating expenses and provisions for credit losses. Net interest income (NII) and net interest margin (NIM) show how effectively a bank converts its interest-earning assets into earnings.</w:t>
      </w:r>
    </w:p>
    <w:p>
      <w:pPr>
        <w:pStyle w:val="ListBullet"/>
        <w:spacing w:after="40" w:line="240" w:lineRule="auto"/>
        <w:ind w:left="259"/>
      </w:pPr>
      <w:r>
        <w:t>SBI reported FY2025–26 net profit of ₹80,032 crore, up from ₹70,901 crore in FY2024–25. Its total deposits crossed ₹59.75 lakh crore and net advances reached ₹48.78 lakh crore.</w:t>
      </w:r>
    </w:p>
    <w:p>
      <w:pPr>
        <w:pStyle w:val="ListBullet"/>
        <w:spacing w:after="40" w:line="240" w:lineRule="auto"/>
        <w:ind w:left="259"/>
      </w:pPr>
      <w:r>
        <w:t>ICICI Bank reported FY2026 profit after tax of ₹50,147 crore, a 6.2% year-on-year increase. Deposits grew 11.4% and the total loan portfolio grew 15.8% at March 2026.</w:t>
      </w:r>
    </w:p>
    <w:p>
      <w:pPr>
        <w:pStyle w:val="ListBullet"/>
        <w:spacing w:after="40" w:line="240" w:lineRule="auto"/>
        <w:ind w:left="259"/>
      </w:pPr>
      <w:r>
        <w:t>Axis Bank reported FY2026 net profit of ₹24,457 crore versus ₹26,373 crore in FY2025. At the same time, deposits grew 14% and net advances grew 19%, showing strong balance-sheet expansion despite lower annual profit.</w:t>
      </w:r>
    </w:p>
    <w:p>
      <w:r>
        <w:br w:type="page"/>
      </w:r>
    </w:p>
    <w:p>
      <w:pPr>
        <w:jc w:val="center"/>
      </w:pPr>
      <w:r>
        <w:rPr>
          <w:b/>
          <w:sz w:val="44"/>
        </w:rPr>
        <w:t>Pune Banking Sector: Projects &amp; Growth</w:t>
      </w:r>
    </w:p>
    <w:p>
      <w:pPr>
        <w:pStyle w:val="Heading1"/>
        <w:spacing w:before="100" w:after="60"/>
      </w:pPr>
      <w:r>
        <w:t>4. Major New Projects and Expansion</w:t>
      </w:r>
    </w:p>
    <w:p>
      <w:pPr>
        <w:pStyle w:val="Heading1"/>
        <w:spacing w:before="100" w:after="60"/>
      </w:pPr>
      <w:r>
        <w:t>A. J.P. Morgan — New Pune Branch</w:t>
      </w:r>
    </w:p>
    <w:p>
      <w:pPr>
        <w:spacing w:after="80" w:line="245" w:lineRule="auto"/>
      </w:pPr>
      <w:r>
        <w:t>J.P. Morgan received in-principle approval from the Reserve Bank of India in December 2025 to open a branch in Pune. The proposed branch is intended to strengthen services for multinational and Indian corporate clients. Planned wholesale services include cash management in INR and foreign currency, trade finance, liquidity management, foreign-currency payments and investment banking. The bank described Pune as a fast-growing western Indian market and an important investment and corporate-services hub.</w:t>
      </w:r>
    </w:p>
    <w:p>
      <w:pPr>
        <w:pStyle w:val="Heading1"/>
        <w:spacing w:before="100" w:after="60"/>
      </w:pPr>
      <w:r>
        <w:t>B. DBS Bank — Balewadi Commercial Development Financing</w:t>
      </w:r>
    </w:p>
    <w:p>
      <w:pPr>
        <w:spacing w:after="80" w:line="245" w:lineRule="auto"/>
      </w:pPr>
      <w:r>
        <w:t>In August 2026, DBS Bank India announced a ₹520 crore construction-finance facility for a K Raheja Corp commercial development in Balewadi. The project comprises approximately 1.1 million square feet of Grade A office space and is designed to meet LEED Platinum pre-certification standards. The financing is an example of how banks are supporting Pune’s commercial real-estate and office-infrastructure expansion.</w:t>
      </w:r>
    </w:p>
    <w:p>
      <w:pPr>
        <w:pStyle w:val="Heading1"/>
        <w:spacing w:before="100" w:after="60"/>
      </w:pPr>
      <w:r>
        <w:t>C. PDCC Bank — Digital, Cybersecurity and Infrastructure Projects</w:t>
      </w:r>
    </w:p>
    <w:p>
      <w:pPr>
        <w:spacing w:after="80" w:line="245" w:lineRule="auto"/>
      </w:pPr>
      <w:r>
        <w:t>PDCC Bank’s recent procurement activity includes a RuPay contactless card RFP, solar and power-project installation and maintenance, branch renovation work, and a request for a service provider for a Cyber Security Operations Center on a hybrid model. These initiatives indicate investment in payments, physical infrastructure, energy management and cybersecurity.</w:t>
      </w:r>
    </w:p>
    <w:p>
      <w:pPr>
        <w:pStyle w:val="Heading1"/>
        <w:spacing w:before="100" w:after="60"/>
      </w:pPr>
      <w:r>
        <w:t>D. Bank of Maharashtra — Network and Digital Expansion</w:t>
      </w:r>
    </w:p>
    <w:p>
      <w:pPr>
        <w:spacing w:after="80" w:line="245" w:lineRule="auto"/>
      </w:pPr>
      <w:r>
        <w:t>Bank of Maharashtra continues to expand its branch network and specialized banking capabilities. Its FY2025–26 disclosures show a national network of 2,782 branches, three Digital Banking Units and 276 Customer Service Points as of March 31, 2026. The bank has also emphasized data management, digital transformation, financial inclusion, MSME lending and specialized banking such as corporate finance, treasury, housing finance and start-up banking.</w:t>
      </w:r>
    </w:p>
    <w:p>
      <w:pPr>
        <w:pStyle w:val="Heading1"/>
        <w:spacing w:before="100" w:after="60"/>
      </w:pPr>
      <w:r>
        <w:t>5. Pune-Specific Business Drivers</w:t>
      </w:r>
    </w:p>
    <w:p>
      <w:pPr>
        <w:pStyle w:val="ListBullet"/>
        <w:spacing w:after="40" w:line="240" w:lineRule="auto"/>
        <w:ind w:left="259"/>
      </w:pPr>
      <w:r>
        <w:t>IT and GCC growth: Pune’s technology and corporate ecosystem creates demand for payroll accounts, cash management, corporate lending, foreign exchange, employee banking and wealth management.</w:t>
      </w:r>
    </w:p>
    <w:p>
      <w:pPr>
        <w:pStyle w:val="ListBullet"/>
        <w:spacing w:after="40" w:line="240" w:lineRule="auto"/>
        <w:ind w:left="259"/>
      </w:pPr>
      <w:r>
        <w:t>Manufacturing and automotive: industrial clusters create demand for working capital, equipment finance, trade finance, supply-chain finance and SME banking.</w:t>
      </w:r>
    </w:p>
    <w:p>
      <w:pPr>
        <w:pStyle w:val="ListBullet"/>
        <w:spacing w:after="40" w:line="240" w:lineRule="auto"/>
        <w:ind w:left="259"/>
      </w:pPr>
      <w:r>
        <w:t>Real estate and infrastructure: commercial offices, residential development and transport projects create demand for project finance, mortgages and construction finance.</w:t>
      </w:r>
    </w:p>
    <w:p>
      <w:pPr>
        <w:pStyle w:val="ListBullet"/>
        <w:spacing w:after="40" w:line="240" w:lineRule="auto"/>
        <w:ind w:left="259"/>
      </w:pPr>
      <w:r>
        <w:t>SMEs and start-ups: Pune’s large SME and start-up base supports current-account, credit, payments, merchant services and working-capital businesses.</w:t>
      </w:r>
    </w:p>
    <w:p>
      <w:pPr>
        <w:pStyle w:val="ListBullet"/>
        <w:spacing w:after="40" w:line="240" w:lineRule="auto"/>
        <w:ind w:left="259"/>
      </w:pPr>
      <w:r>
        <w:t>Digital banking and cybersecurity: banks are increasingly investing in mobile banking, contactless payments, digital onboarding, data governance and cyber-security operations.</w:t>
      </w:r>
    </w:p>
    <w:p>
      <w:pPr>
        <w:pStyle w:val="Heading1"/>
        <w:spacing w:before="100" w:after="60"/>
      </w:pPr>
      <w:r>
        <w:t>6. Key Financial Ratios to Track</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7"/>
              </w:rPr>
              <w:t>Metric</w:t>
            </w:r>
          </w:p>
        </w:tc>
        <w:tc>
          <w:tcPr>
            <w:tcW w:type="dxa" w:w="3456"/>
          </w:tcPr>
          <w:p>
            <w:r>
              <w:rPr>
                <w:b/>
                <w:sz w:val="17"/>
              </w:rPr>
              <w:t>Meaning</w:t>
            </w:r>
          </w:p>
        </w:tc>
        <w:tc>
          <w:tcPr>
            <w:tcW w:type="dxa" w:w="3456"/>
          </w:tcPr>
          <w:p>
            <w:r>
              <w:rPr>
                <w:b/>
                <w:sz w:val="17"/>
              </w:rPr>
              <w:t>Why it matters</w:t>
            </w:r>
          </w:p>
        </w:tc>
      </w:tr>
      <w:tr>
        <w:tc>
          <w:tcPr>
            <w:tcW w:type="dxa" w:w="3456"/>
          </w:tcPr>
          <w:p>
            <w:r>
              <w:rPr>
                <w:sz w:val="16"/>
              </w:rPr>
              <w:t>NIM</w:t>
            </w:r>
          </w:p>
        </w:tc>
        <w:tc>
          <w:tcPr>
            <w:tcW w:type="dxa" w:w="3456"/>
          </w:tcPr>
          <w:p>
            <w:r>
              <w:rPr>
                <w:sz w:val="16"/>
              </w:rPr>
              <w:t>Net interest income relative to earning assets</w:t>
            </w:r>
          </w:p>
        </w:tc>
        <w:tc>
          <w:tcPr>
            <w:tcW w:type="dxa" w:w="3456"/>
          </w:tcPr>
          <w:p>
            <w:r>
              <w:rPr>
                <w:sz w:val="16"/>
              </w:rPr>
              <w:t>Measures core lending/deposit profitability</w:t>
            </w:r>
          </w:p>
        </w:tc>
      </w:tr>
      <w:tr>
        <w:tc>
          <w:tcPr>
            <w:tcW w:type="dxa" w:w="3456"/>
          </w:tcPr>
          <w:p>
            <w:r>
              <w:rPr>
                <w:sz w:val="16"/>
              </w:rPr>
              <w:t>ROA</w:t>
            </w:r>
          </w:p>
        </w:tc>
        <w:tc>
          <w:tcPr>
            <w:tcW w:type="dxa" w:w="3456"/>
          </w:tcPr>
          <w:p>
            <w:r>
              <w:rPr>
                <w:sz w:val="16"/>
              </w:rPr>
              <w:t>Profit generated per unit of assets</w:t>
            </w:r>
          </w:p>
        </w:tc>
        <w:tc>
          <w:tcPr>
            <w:tcW w:type="dxa" w:w="3456"/>
          </w:tcPr>
          <w:p>
            <w:r>
              <w:rPr>
                <w:sz w:val="16"/>
              </w:rPr>
              <w:t>Useful measure of bank-wide efficiency</w:t>
            </w:r>
          </w:p>
        </w:tc>
      </w:tr>
      <w:tr>
        <w:tc>
          <w:tcPr>
            <w:tcW w:type="dxa" w:w="3456"/>
          </w:tcPr>
          <w:p>
            <w:r>
              <w:rPr>
                <w:sz w:val="16"/>
              </w:rPr>
              <w:t>ROE</w:t>
            </w:r>
          </w:p>
        </w:tc>
        <w:tc>
          <w:tcPr>
            <w:tcW w:type="dxa" w:w="3456"/>
          </w:tcPr>
          <w:p>
            <w:r>
              <w:rPr>
                <w:sz w:val="16"/>
              </w:rPr>
              <w:t>Profit generated on shareholders’ equity</w:t>
            </w:r>
          </w:p>
        </w:tc>
        <w:tc>
          <w:tcPr>
            <w:tcW w:type="dxa" w:w="3456"/>
          </w:tcPr>
          <w:p>
            <w:r>
              <w:rPr>
                <w:sz w:val="16"/>
              </w:rPr>
              <w:t>Shows return on capital</w:t>
            </w:r>
          </w:p>
        </w:tc>
      </w:tr>
      <w:tr>
        <w:tc>
          <w:tcPr>
            <w:tcW w:type="dxa" w:w="3456"/>
          </w:tcPr>
          <w:p>
            <w:r>
              <w:rPr>
                <w:sz w:val="16"/>
              </w:rPr>
              <w:t>Gross/Net NPA</w:t>
            </w:r>
          </w:p>
        </w:tc>
        <w:tc>
          <w:tcPr>
            <w:tcW w:type="dxa" w:w="3456"/>
          </w:tcPr>
          <w:p>
            <w:r>
              <w:rPr>
                <w:sz w:val="16"/>
              </w:rPr>
              <w:t>Bad-loan ratios</w:t>
            </w:r>
          </w:p>
        </w:tc>
        <w:tc>
          <w:tcPr>
            <w:tcW w:type="dxa" w:w="3456"/>
          </w:tcPr>
          <w:p>
            <w:r>
              <w:rPr>
                <w:sz w:val="16"/>
              </w:rPr>
              <w:t>Indicates asset-quality risk</w:t>
            </w:r>
          </w:p>
        </w:tc>
      </w:tr>
      <w:tr>
        <w:tc>
          <w:tcPr>
            <w:tcW w:type="dxa" w:w="3456"/>
          </w:tcPr>
          <w:p>
            <w:r>
              <w:rPr>
                <w:sz w:val="16"/>
              </w:rPr>
              <w:t>CASA Ratio</w:t>
            </w:r>
          </w:p>
        </w:tc>
        <w:tc>
          <w:tcPr>
            <w:tcW w:type="dxa" w:w="3456"/>
          </w:tcPr>
          <w:p>
            <w:r>
              <w:rPr>
                <w:sz w:val="16"/>
              </w:rPr>
              <w:t>Current + savings deposits / total deposits</w:t>
            </w:r>
          </w:p>
        </w:tc>
        <w:tc>
          <w:tcPr>
            <w:tcW w:type="dxa" w:w="3456"/>
          </w:tcPr>
          <w:p>
            <w:r>
              <w:rPr>
                <w:sz w:val="16"/>
              </w:rPr>
              <w:t>Lower-cost funding indicator</w:t>
            </w:r>
          </w:p>
        </w:tc>
      </w:tr>
      <w:tr>
        <w:tc>
          <w:tcPr>
            <w:tcW w:type="dxa" w:w="3456"/>
          </w:tcPr>
          <w:p>
            <w:r>
              <w:rPr>
                <w:sz w:val="16"/>
              </w:rPr>
              <w:t>Capital Adequacy</w:t>
            </w:r>
          </w:p>
        </w:tc>
        <w:tc>
          <w:tcPr>
            <w:tcW w:type="dxa" w:w="3456"/>
          </w:tcPr>
          <w:p>
            <w:r>
              <w:rPr>
                <w:sz w:val="16"/>
              </w:rPr>
              <w:t>Regulatory capital relative to risk-weighted assets</w:t>
            </w:r>
          </w:p>
        </w:tc>
        <w:tc>
          <w:tcPr>
            <w:tcW w:type="dxa" w:w="3456"/>
          </w:tcPr>
          <w:p>
            <w:r>
              <w:rPr>
                <w:sz w:val="16"/>
              </w:rPr>
              <w:t>Shows capital resilience</w:t>
            </w:r>
          </w:p>
        </w:tc>
      </w:tr>
    </w:tbl>
    <w:p>
      <w:pPr>
        <w:spacing w:before="60"/>
      </w:pPr>
      <w:r>
        <w:rPr>
          <w:i/>
          <w:sz w:val="15"/>
        </w:rPr>
        <w:t>Sources: J.P. Morgan official announcement (11 Dec 2025); DBS Bank India announcement (10 Aug 2026); PDCC Bank tenders and official profile; Bank of Maharashtra disclosures.</w:t>
      </w:r>
    </w:p>
    <w:p>
      <w:r>
        <w:br w:type="page"/>
      </w:r>
    </w:p>
    <w:p>
      <w:pPr>
        <w:jc w:val="center"/>
      </w:pPr>
      <w:r>
        <w:rPr>
          <w:b/>
          <w:sz w:val="44"/>
        </w:rPr>
        <w:t>Profit &amp; Loss Analysis and Outlook</w:t>
      </w:r>
    </w:p>
    <w:p>
      <w:pPr>
        <w:pStyle w:val="Heading1"/>
        <w:spacing w:before="100" w:after="60"/>
      </w:pPr>
      <w:r>
        <w:t>7. Comparative Financial Snapshot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b/>
                <w:sz w:val="17"/>
              </w:rPr>
              <w:t>Bank</w:t>
            </w:r>
          </w:p>
        </w:tc>
        <w:tc>
          <w:tcPr>
            <w:tcW w:type="dxa" w:w="2074"/>
          </w:tcPr>
          <w:p>
            <w:r>
              <w:rPr>
                <w:b/>
                <w:sz w:val="17"/>
              </w:rPr>
              <w:t>Profit after tax</w:t>
            </w:r>
          </w:p>
        </w:tc>
        <w:tc>
          <w:tcPr>
            <w:tcW w:type="dxa" w:w="2074"/>
          </w:tcPr>
          <w:p>
            <w:r>
              <w:rPr>
                <w:b/>
                <w:sz w:val="17"/>
              </w:rPr>
              <w:t>Deposits</w:t>
            </w:r>
          </w:p>
        </w:tc>
        <w:tc>
          <w:tcPr>
            <w:tcW w:type="dxa" w:w="2074"/>
          </w:tcPr>
          <w:p>
            <w:r>
              <w:rPr>
                <w:b/>
                <w:sz w:val="17"/>
              </w:rPr>
              <w:t>Loans / Advances</w:t>
            </w:r>
          </w:p>
        </w:tc>
        <w:tc>
          <w:tcPr>
            <w:tcW w:type="dxa" w:w="2074"/>
          </w:tcPr>
          <w:p>
            <w:r>
              <w:rPr>
                <w:b/>
                <w:sz w:val="17"/>
              </w:rPr>
              <w:t>Asset-quality / capital note</w:t>
            </w:r>
          </w:p>
        </w:tc>
      </w:tr>
      <w:tr>
        <w:tc>
          <w:tcPr>
            <w:tcW w:type="dxa" w:w="2074"/>
          </w:tcPr>
          <w:p>
            <w:r>
              <w:rPr>
                <w:sz w:val="16"/>
              </w:rPr>
              <w:t>SBI</w:t>
            </w:r>
          </w:p>
        </w:tc>
        <w:tc>
          <w:tcPr>
            <w:tcW w:type="dxa" w:w="2074"/>
          </w:tcPr>
          <w:p>
            <w:r>
              <w:rPr>
                <w:sz w:val="16"/>
              </w:rPr>
              <w:t>₹80,032 cr FY26</w:t>
            </w:r>
          </w:p>
        </w:tc>
        <w:tc>
          <w:tcPr>
            <w:tcW w:type="dxa" w:w="2074"/>
          </w:tcPr>
          <w:p>
            <w:r>
              <w:rPr>
                <w:sz w:val="16"/>
              </w:rPr>
              <w:t>₹59.76 lakh cr</w:t>
            </w:r>
          </w:p>
        </w:tc>
        <w:tc>
          <w:tcPr>
            <w:tcW w:type="dxa" w:w="2074"/>
          </w:tcPr>
          <w:p>
            <w:r>
              <w:rPr>
                <w:sz w:val="16"/>
              </w:rPr>
              <w:t>₹48.78 lakh cr</w:t>
            </w:r>
          </w:p>
        </w:tc>
        <w:tc>
          <w:tcPr>
            <w:tcW w:type="dxa" w:w="2074"/>
          </w:tcPr>
          <w:p>
            <w:r>
              <w:rPr>
                <w:sz w:val="16"/>
              </w:rPr>
              <w:t>ROA 1.12%; CAR 15.40%</w:t>
            </w:r>
          </w:p>
        </w:tc>
      </w:tr>
      <w:tr>
        <w:tc>
          <w:tcPr>
            <w:tcW w:type="dxa" w:w="2074"/>
          </w:tcPr>
          <w:p>
            <w:r>
              <w:rPr>
                <w:sz w:val="16"/>
              </w:rPr>
              <w:t>ICICI Bank</w:t>
            </w:r>
          </w:p>
        </w:tc>
        <w:tc>
          <w:tcPr>
            <w:tcW w:type="dxa" w:w="2074"/>
          </w:tcPr>
          <w:p>
            <w:r>
              <w:rPr>
                <w:sz w:val="16"/>
              </w:rPr>
              <w:t>₹50,147 cr FY26</w:t>
            </w:r>
          </w:p>
        </w:tc>
        <w:tc>
          <w:tcPr>
            <w:tcW w:type="dxa" w:w="2074"/>
          </w:tcPr>
          <w:p>
            <w:r>
              <w:rPr>
                <w:sz w:val="16"/>
              </w:rPr>
              <w:t>₹17.95 lakh cr</w:t>
            </w:r>
          </w:p>
        </w:tc>
        <w:tc>
          <w:tcPr>
            <w:tcW w:type="dxa" w:w="2074"/>
          </w:tcPr>
          <w:p>
            <w:r>
              <w:rPr>
                <w:sz w:val="16"/>
              </w:rPr>
              <w:t>₹15.54 lakh cr</w:t>
            </w:r>
          </w:p>
        </w:tc>
        <w:tc>
          <w:tcPr>
            <w:tcW w:type="dxa" w:w="2074"/>
          </w:tcPr>
          <w:p>
            <w:r>
              <w:rPr>
                <w:sz w:val="16"/>
              </w:rPr>
              <w:t>Net NPA 0.33%; CAR 17.18%</w:t>
            </w:r>
          </w:p>
        </w:tc>
      </w:tr>
      <w:tr>
        <w:tc>
          <w:tcPr>
            <w:tcW w:type="dxa" w:w="2074"/>
          </w:tcPr>
          <w:p>
            <w:r>
              <w:rPr>
                <w:sz w:val="16"/>
              </w:rPr>
              <w:t>Axis Bank</w:t>
            </w:r>
          </w:p>
        </w:tc>
        <w:tc>
          <w:tcPr>
            <w:tcW w:type="dxa" w:w="2074"/>
          </w:tcPr>
          <w:p>
            <w:r>
              <w:rPr>
                <w:sz w:val="16"/>
              </w:rPr>
              <w:t>₹24,457 cr FY26</w:t>
            </w:r>
          </w:p>
        </w:tc>
        <w:tc>
          <w:tcPr>
            <w:tcW w:type="dxa" w:w="2074"/>
          </w:tcPr>
          <w:p>
            <w:r>
              <w:rPr>
                <w:sz w:val="16"/>
              </w:rPr>
              <w:t>₹13.36 lakh cr</w:t>
            </w:r>
          </w:p>
        </w:tc>
        <w:tc>
          <w:tcPr>
            <w:tcW w:type="dxa" w:w="2074"/>
          </w:tcPr>
          <w:p>
            <w:r>
              <w:rPr>
                <w:sz w:val="16"/>
              </w:rPr>
              <w:t>₹12.34 lakh cr</w:t>
            </w:r>
          </w:p>
        </w:tc>
        <w:tc>
          <w:tcPr>
            <w:tcW w:type="dxa" w:w="2074"/>
          </w:tcPr>
          <w:p>
            <w:r>
              <w:rPr>
                <w:sz w:val="16"/>
              </w:rPr>
              <w:t>Net NPA 0.37%; CAR 16.42%</w:t>
            </w:r>
          </w:p>
        </w:tc>
      </w:tr>
      <w:tr>
        <w:tc>
          <w:tcPr>
            <w:tcW w:type="dxa" w:w="2074"/>
          </w:tcPr>
          <w:p>
            <w:r>
              <w:rPr>
                <w:sz w:val="16"/>
              </w:rPr>
              <w:t>PDCC Bank</w:t>
            </w:r>
          </w:p>
        </w:tc>
        <w:tc>
          <w:tcPr>
            <w:tcW w:type="dxa" w:w="2074"/>
          </w:tcPr>
          <w:p>
            <w:r>
              <w:rPr>
                <w:sz w:val="16"/>
              </w:rPr>
              <w:t>₹78.78 cr FY26</w:t>
            </w:r>
          </w:p>
        </w:tc>
        <w:tc>
          <w:tcPr>
            <w:tcW w:type="dxa" w:w="2074"/>
          </w:tcPr>
          <w:p>
            <w:r>
              <w:rPr>
                <w:sz w:val="16"/>
              </w:rPr>
              <w:t>₹17,189 cr</w:t>
            </w:r>
          </w:p>
        </w:tc>
        <w:tc>
          <w:tcPr>
            <w:tcW w:type="dxa" w:w="2074"/>
          </w:tcPr>
          <w:p>
            <w:r>
              <w:rPr>
                <w:sz w:val="16"/>
              </w:rPr>
              <w:t>₹13,579 cr</w:t>
            </w:r>
          </w:p>
        </w:tc>
        <w:tc>
          <w:tcPr>
            <w:tcW w:type="dxa" w:w="2074"/>
          </w:tcPr>
          <w:p>
            <w:r>
              <w:rPr>
                <w:sz w:val="16"/>
              </w:rPr>
              <w:t>Net NPA 0%; CD ratio 79%</w:t>
            </w:r>
          </w:p>
        </w:tc>
      </w:tr>
    </w:tbl>
    <w:p>
      <w:pPr>
        <w:spacing w:after="80" w:line="245" w:lineRule="auto"/>
      </w:pPr>
      <w:r>
        <w:t>Note: These figures are not directly comparable by size because SBI, ICICI Bank and Axis Bank are large national banks, whereas PDCC Bank is a regional cooperative bank. Pune-level profit and loss is generally not separately disclosed in listed-bank financial statements; therefore, national FY2025–26 figures are used as the financial benchmark.</w:t>
      </w:r>
    </w:p>
    <w:p>
      <w:pPr>
        <w:pStyle w:val="Heading1"/>
        <w:spacing w:before="100" w:after="60"/>
      </w:pPr>
      <w:r>
        <w:t>8. P&amp;L Interpretation</w:t>
      </w:r>
    </w:p>
    <w:p>
      <w:pPr>
        <w:spacing w:after="80" w:line="245" w:lineRule="auto"/>
      </w:pPr>
      <w:r>
        <w:t>The results show that profitability and growth do not always move together. Axis Bank, for example, increased deposits by 14% and advances by 19% in FY2026, while annual PAT was ₹24,457 crore compared with ₹26,373 crore in FY2025. This illustrates why a bank should be assessed using several indicators rather than profit alone.</w:t>
      </w:r>
    </w:p>
    <w:p>
      <w:pPr>
        <w:spacing w:after="80" w:line="245" w:lineRule="auto"/>
      </w:pPr>
      <w:r>
        <w:t>ICICI Bank combined 6.2% FY2026 PAT growth with 11.4% deposit growth and 15.8% loan-portfolio growth. SBI reported a higher FY2026 net profit of ₹80,032 crore and maintained a strong capital position. PDCC Bank reported steady growth in deposits, advances, net worth and profit, with net NPA at zero in the reported period.</w:t>
      </w:r>
    </w:p>
    <w:p>
      <w:pPr>
        <w:pStyle w:val="Heading1"/>
        <w:spacing w:before="100" w:after="60"/>
      </w:pPr>
      <w:r>
        <w:t>9. Opportunities for Banks in Pune</w:t>
      </w:r>
    </w:p>
    <w:p>
      <w:pPr>
        <w:pStyle w:val="ListBullet"/>
        <w:spacing w:after="40" w:line="240" w:lineRule="auto"/>
        <w:ind w:left="259"/>
      </w:pPr>
      <w:r>
        <w:t>Corporate and wholesale banking: Pune’s manufacturing, IT and GCC base can support cash-management, trade-finance and foreign-exchange businesses.</w:t>
      </w:r>
    </w:p>
    <w:p>
      <w:pPr>
        <w:pStyle w:val="ListBullet"/>
        <w:spacing w:after="40" w:line="240" w:lineRule="auto"/>
        <w:ind w:left="259"/>
      </w:pPr>
      <w:r>
        <w:t>MSME financing: working-capital loans, equipment finance, invoice finance and digital credit can support local enterprises.</w:t>
      </w:r>
    </w:p>
    <w:p>
      <w:pPr>
        <w:pStyle w:val="ListBullet"/>
        <w:spacing w:after="40" w:line="240" w:lineRule="auto"/>
        <w:ind w:left="259"/>
      </w:pPr>
      <w:r>
        <w:t>Green finance: commercial buildings and infrastructure projects are creating opportunities for sustainable construction finance and energy-related lending.</w:t>
      </w:r>
    </w:p>
    <w:p>
      <w:pPr>
        <w:pStyle w:val="ListBullet"/>
        <w:spacing w:after="40" w:line="240" w:lineRule="auto"/>
        <w:ind w:left="259"/>
      </w:pPr>
      <w:r>
        <w:t>Digital payments: contactless cards, mobile banking and API-based services can increase transaction volumes and customer engagement.</w:t>
      </w:r>
    </w:p>
    <w:p>
      <w:pPr>
        <w:pStyle w:val="ListBullet"/>
        <w:spacing w:after="40" w:line="240" w:lineRule="auto"/>
        <w:ind w:left="259"/>
      </w:pPr>
      <w:r>
        <w:t>Cybersecurity: the growth of digital banking increases demand for Security Operations Centers, fraud monitoring, identity protection and data governance.</w:t>
      </w:r>
    </w:p>
    <w:p>
      <w:pPr>
        <w:pStyle w:val="Heading1"/>
        <w:spacing w:before="100" w:after="60"/>
      </w:pPr>
      <w:r>
        <w:t>10. Conclusion</w:t>
      </w:r>
    </w:p>
    <w:p>
      <w:pPr>
        <w:spacing w:after="80" w:line="245" w:lineRule="auto"/>
      </w:pPr>
      <w:r>
        <w:t>Pune’s banking ecosystem is expanding alongside the city’s technology, manufacturing, real-estate and corporate sectors. The financial results of major banks show continued growth in deposits and credit, while profitability, asset quality and capital adequacy remain important indicators. New initiatives such as J.P. Morgan’s proposed Pune branch, DBS-backed commercial development finance and PDCC Bank’s digital/cybersecurity projects demonstrate the breadth of financial activity in the city.</w:t>
      </w:r>
    </w:p>
    <w:p>
      <w:pPr>
        <w:spacing w:after="80" w:line="245" w:lineRule="auto"/>
      </w:pPr>
      <w:r>
        <w:t>For a business or investment analysis, the next step would be to track quarterly NII, NIM, operating profit, provisions, PAT, deposits, advances, CASA, GNPA/NNPA and capital ratios, together with Pune-specific branch growth and lending exposure. This provides a more complete picture than looking at profit alone.</w:t>
      </w:r>
    </w:p>
    <w:p>
      <w:pPr>
        <w:pStyle w:val="Heading1"/>
        <w:spacing w:before="100" w:after="60"/>
      </w:pPr>
      <w:r>
        <w:t>Sources / Reference Links</w:t>
      </w:r>
    </w:p>
    <w:p>
      <w:pPr>
        <w:pStyle w:val="ListBullet"/>
        <w:spacing w:after="40" w:line="240" w:lineRule="auto"/>
        <w:ind w:left="259"/>
      </w:pPr>
      <w:r>
        <w:t>Pune District Administration — Banks directory: https://pune.gov.in/en/public-utility-category/banks/</w:t>
      </w:r>
    </w:p>
    <w:p>
      <w:pPr>
        <w:pStyle w:val="ListBullet"/>
        <w:spacing w:after="40" w:line="240" w:lineRule="auto"/>
        <w:ind w:left="259"/>
      </w:pPr>
      <w:r>
        <w:t>SBI Sustainability Report FY2025–26: https://sbi.bank.in/</w:t>
      </w:r>
    </w:p>
    <w:p>
      <w:pPr>
        <w:pStyle w:val="ListBullet"/>
        <w:spacing w:after="40" w:line="240" w:lineRule="auto"/>
        <w:ind w:left="259"/>
      </w:pPr>
      <w:r>
        <w:t>ICICI Bank FY2026 performance review: https://www.icici.bank.in/about-us/news-room/2026/performance-review-quarter-ended-march-31-2026</w:t>
      </w:r>
    </w:p>
    <w:p>
      <w:pPr>
        <w:pStyle w:val="ListBullet"/>
        <w:spacing w:after="40" w:line="240" w:lineRule="auto"/>
        <w:ind w:left="259"/>
      </w:pPr>
      <w:r>
        <w:t>Axis Bank FY2025–26 results: https://www.axis.bank.in/quarterly-results/2025-2026/q4/index.html</w:t>
      </w:r>
    </w:p>
    <w:p>
      <w:pPr>
        <w:pStyle w:val="ListBullet"/>
        <w:spacing w:after="40" w:line="240" w:lineRule="auto"/>
        <w:ind w:left="259"/>
      </w:pPr>
      <w:r>
        <w:t>Bank of Maharashtra financial results: https://bankofmaharashtra.bank.in/financial-results</w:t>
      </w:r>
    </w:p>
    <w:p>
      <w:pPr>
        <w:pStyle w:val="ListBullet"/>
        <w:spacing w:after="40" w:line="240" w:lineRule="auto"/>
        <w:ind w:left="259"/>
      </w:pPr>
      <w:r>
        <w:t>PDCC Bank financial position: https://www.pdcc.bank.in/information/details/pdcc_profile</w:t>
      </w:r>
    </w:p>
    <w:p>
      <w:pPr>
        <w:pStyle w:val="ListBullet"/>
        <w:spacing w:after="40" w:line="240" w:lineRule="auto"/>
        <w:ind w:left="259"/>
      </w:pPr>
      <w:r>
        <w:t>J.P. Morgan Pune branch announcement: https://www.jpmorgan.com/about-us/corporate-news/2025/jp-morgan-receives-in-principle-rbi-approval-to-open-pune-branch</w:t>
      </w:r>
    </w:p>
    <w:p>
      <w:pPr>
        <w:pStyle w:val="ListBullet"/>
        <w:spacing w:after="40" w:line="240" w:lineRule="auto"/>
        <w:ind w:left="259"/>
      </w:pPr>
      <w:r>
        <w:t>DBS Pune construction-finance announcement: https://www.dbs.com/newsroom/dbil_extends_inr_5_2_billion_construction_finance_facility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Pune Banking Sector Report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