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A365D"/>
            <w:tcMar>
              <w:top w:w="240" w:type="dxa"/>
              <w:bottom w:w="240" w:type="dxa"/>
              <w:left w:w="240" w:type="dxa"/>
              <w:right w:w="240" w:type="dxa"/>
            </w:tcMar>
          </w:tcPr>
          <w:p>
            <w:pPr>
              <w:spacing w:after="80"/>
              <w:jc w:val="center"/>
            </w:pPr>
            <w:r>
              <w:rPr>
                <w:rFonts w:ascii="Calibri" w:hAnsi="Calibri"/>
                <w:b/>
                <w:color w:val="0D9488"/>
                <w:sz w:val="22"/>
              </w:rPr>
              <w:t>POLICY BRIEF &amp; ANALYTICAL REPORT</w:t>
            </w:r>
          </w:p>
          <w:p>
            <w:pPr>
              <w:spacing w:after="240"/>
              <w:jc w:val="center"/>
            </w:pPr>
            <w:r>
              <w:rPr>
                <w:rFonts w:ascii="Calibri Light" w:hAnsi="Calibri Light"/>
                <w:b/>
                <w:color w:val="FFFFFF"/>
                <w:sz w:val="40"/>
              </w:rPr>
              <w:t>Computational Analysis of Environmental Policy Frameworks in Malawi: Translating Database Metrics into Actionable Policy Intelligence</w:t>
            </w:r>
          </w:p>
          <w:p>
            <w:pPr>
              <w:spacing w:after="0" w:line="288" w:lineRule="auto"/>
              <w:jc w:val="left"/>
            </w:pPr>
            <w:r>
              <w:rPr>
                <w:rFonts w:ascii="Calibri" w:hAnsi="Calibri"/>
                <w:b/>
                <w:color w:val="E2E8F0"/>
                <w:sz w:val="19"/>
              </w:rPr>
              <w:t xml:space="preserve">Focus Region: </w:t>
            </w:r>
            <w:r>
              <w:rPr>
                <w:rFonts w:ascii="Calibri" w:hAnsi="Calibri"/>
                <w:color w:val="E2E8F0"/>
                <w:sz w:val="19"/>
              </w:rPr>
              <w:t>Malawi (National &amp; District Level)</w:t>
              <w:br/>
            </w:r>
            <w:r>
              <w:rPr>
                <w:rFonts w:ascii="Calibri" w:hAnsi="Calibri"/>
                <w:b/>
                <w:color w:val="E2E8F0"/>
                <w:sz w:val="19"/>
              </w:rPr>
              <w:t xml:space="preserve">Target Audience: </w:t>
            </w:r>
            <w:r>
              <w:rPr>
                <w:rFonts w:ascii="Calibri" w:hAnsi="Calibri"/>
                <w:color w:val="E2E8F0"/>
                <w:sz w:val="19"/>
              </w:rPr>
              <w:t>Policy Makers, Government Ministries, Civil Society Organisations (CSOs), District Planning Units, and Environmental Journalists</w:t>
              <w:br/>
            </w:r>
            <w:r>
              <w:rPr>
                <w:rFonts w:ascii="Calibri" w:hAnsi="Calibri"/>
                <w:b/>
                <w:color w:val="E2E8F0"/>
                <w:sz w:val="19"/>
              </w:rPr>
              <w:t xml:space="preserve">Methodology: </w:t>
            </w:r>
            <w:r>
              <w:rPr>
                <w:rFonts w:ascii="Calibri" w:hAnsi="Calibri"/>
                <w:color w:val="E2E8F0"/>
                <w:sz w:val="19"/>
              </w:rPr>
              <w:t>Named Entity Recognition (NER), SQL Relational Database Analytics, and Computational Document Profiling</w:t>
            </w:r>
          </w:p>
        </w:tc>
      </w:tr>
    </w:tbl>
    <w:p>
      <w:pPr>
        <w:spacing w:after="240"/>
      </w:pPr>
    </w:p>
    <w:p>
      <w:pPr>
        <w:keepNext/>
        <w:spacing w:before="360" w:after="120"/>
        <w:pBdr>
          <w:bottom w:val="single" w:sz="12" w:space="4" w:color="0D9488"/>
        </w:pBdr>
      </w:pPr>
      <w:r>
        <w:rPr>
          <w:rFonts w:ascii="Calibri Light" w:hAnsi="Calibri Light"/>
          <w:b/>
          <w:color w:val="1A365D"/>
          <w:sz w:val="36"/>
        </w:rPr>
        <w:t>1. Executive Summary</w:t>
      </w:r>
    </w:p>
    <w:p>
      <w:pPr>
        <w:spacing w:after="120" w:line="276" w:lineRule="auto"/>
      </w:pPr>
      <w:r>
        <w:t>Environmental governance in Malawi operates across a complex landscape of legislative acts, national policies, international treaties, and donor-funded strategies. Navigating these dense frameworks presents significant challenges for decision-makers seeking to avoid institutional overlap, as well as for journalists and citizens striving to hold authorities accountable.</w:t>
      </w:r>
    </w:p>
    <w:p>
      <w:pPr>
        <w:spacing w:after="240" w:line="276" w:lineRule="auto"/>
      </w:pPr>
      <w:r>
        <w:t>This report demonstrates how relational database analytics (MySQL) and computational text processing transform multi-page policy frameworks into clear, data-driven intelligence. By quantifying actor centrality (who holds power), cross-topic influence (which institutions bridge multiple environmental domains), and document complexity (how focused or scattered a policy text is), this analytical framework provides concrete utility across all levels of governance in Malawi.</w:t>
      </w:r>
    </w:p>
    <w:p>
      <w:pPr>
        <w:keepNext/>
        <w:spacing w:before="360" w:after="120"/>
        <w:pBdr>
          <w:bottom w:val="single" w:sz="12" w:space="4" w:color="0D9488"/>
        </w:pBdr>
      </w:pPr>
      <w:r>
        <w:rPr>
          <w:rFonts w:ascii="Calibri Light" w:hAnsi="Calibri Light"/>
          <w:b/>
          <w:color w:val="1A365D"/>
          <w:sz w:val="36"/>
        </w:rPr>
        <w:t>2. Methodology: How the Analytical Results Were Arrived At</w:t>
      </w:r>
    </w:p>
    <w:p>
      <w:pPr>
        <w:spacing w:after="160" w:line="276" w:lineRule="auto"/>
      </w:pPr>
      <w:r>
        <w:t>To ensure transparency for non-experts, journalists, and public administrators, this section breaks down the end-to-end computational pipeline that produced these metrics.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shd w:fill="F1F5F9"/>
            <w:tcMar>
              <w:top w:w="100" w:type="dxa"/>
              <w:bottom w:w="100" w:type="dxa"/>
              <w:left w:w="60" w:type="dxa"/>
              <w:right w:w="60" w:type="dxa"/>
            </w:tcMar>
            <w:vAlign w:val="center"/>
          </w:tcPr>
          <w:p>
            <w:pPr>
              <w:spacing w:after="40"/>
              <w:jc w:val="center"/>
            </w:pPr>
            <w:r>
              <w:rPr>
                <w:rFonts w:ascii="Calibri" w:hAnsi="Calibri"/>
                <w:b/>
                <w:color w:val="1A365D"/>
                <w:sz w:val="18"/>
              </w:rPr>
              <w:t>1. Policy Texts</w:t>
            </w:r>
          </w:p>
          <w:p>
            <w:pPr>
              <w:spacing w:after="0"/>
              <w:jc w:val="center"/>
            </w:pPr>
            <w:r>
              <w:rPr>
                <w:rFonts w:ascii="Calibri" w:hAnsi="Calibri"/>
                <w:color w:val="718096"/>
                <w:sz w:val="16"/>
              </w:rPr>
              <w:t>PDFs / Frameworks</w:t>
            </w:r>
          </w:p>
        </w:tc>
        <w:tc>
          <w:tcPr>
            <w:tcW w:type="dxa" w:w="1800"/>
            <w:shd w:fill="E2E8F0"/>
            <w:tcMar>
              <w:top w:w="100" w:type="dxa"/>
              <w:bottom w:w="100" w:type="dxa"/>
              <w:left w:w="60" w:type="dxa"/>
              <w:right w:w="60" w:type="dxa"/>
            </w:tcMar>
            <w:vAlign w:val="center"/>
          </w:tcPr>
          <w:p>
            <w:pPr>
              <w:spacing w:after="40"/>
              <w:jc w:val="center"/>
            </w:pPr>
            <w:r>
              <w:rPr>
                <w:rFonts w:ascii="Calibri" w:hAnsi="Calibri"/>
                <w:b/>
                <w:color w:val="1A365D"/>
                <w:sz w:val="18"/>
              </w:rPr>
              <w:t>2. Entity Extraction</w:t>
            </w:r>
          </w:p>
          <w:p>
            <w:pPr>
              <w:spacing w:after="0"/>
              <w:jc w:val="center"/>
            </w:pPr>
            <w:r>
              <w:rPr>
                <w:rFonts w:ascii="Calibri" w:hAnsi="Calibri"/>
                <w:color w:val="718096"/>
                <w:sz w:val="16"/>
              </w:rPr>
              <w:t>NER: ORGs &amp; GPEs</w:t>
            </w:r>
          </w:p>
        </w:tc>
        <w:tc>
          <w:tcPr>
            <w:tcW w:type="dxa" w:w="1872"/>
            <w:shd w:fill="F1F5F9"/>
            <w:tcMar>
              <w:top w:w="100" w:type="dxa"/>
              <w:bottom w:w="100" w:type="dxa"/>
              <w:left w:w="60" w:type="dxa"/>
              <w:right w:w="60" w:type="dxa"/>
            </w:tcMar>
            <w:vAlign w:val="center"/>
          </w:tcPr>
          <w:p>
            <w:pPr>
              <w:spacing w:after="40"/>
              <w:jc w:val="center"/>
            </w:pPr>
            <w:r>
              <w:rPr>
                <w:rFonts w:ascii="Calibri" w:hAnsi="Calibri"/>
                <w:b/>
                <w:color w:val="1A365D"/>
                <w:sz w:val="18"/>
              </w:rPr>
              <w:t>3. Relational DB</w:t>
            </w:r>
          </w:p>
          <w:p>
            <w:pPr>
              <w:spacing w:after="0"/>
              <w:jc w:val="center"/>
            </w:pPr>
            <w:r>
              <w:rPr>
                <w:rFonts w:ascii="Calibri" w:hAnsi="Calibri"/>
                <w:color w:val="718096"/>
                <w:sz w:val="16"/>
              </w:rPr>
              <w:t>SQL Cleansing &amp; Tables</w:t>
            </w:r>
          </w:p>
        </w:tc>
        <w:tc>
          <w:tcPr>
            <w:tcW w:type="dxa" w:w="1944"/>
            <w:shd w:fill="E2E8F0"/>
            <w:tcMar>
              <w:top w:w="100" w:type="dxa"/>
              <w:bottom w:w="100" w:type="dxa"/>
              <w:left w:w="60" w:type="dxa"/>
              <w:right w:w="60" w:type="dxa"/>
            </w:tcMar>
            <w:vAlign w:val="center"/>
          </w:tcPr>
          <w:p>
            <w:pPr>
              <w:spacing w:after="40"/>
              <w:jc w:val="center"/>
            </w:pPr>
            <w:r>
              <w:rPr>
                <w:rFonts w:ascii="Calibri" w:hAnsi="Calibri"/>
                <w:b/>
                <w:color w:val="1A365D"/>
                <w:sz w:val="18"/>
              </w:rPr>
              <w:t>4. Policy Metrics</w:t>
            </w:r>
          </w:p>
          <w:p>
            <w:pPr>
              <w:spacing w:after="0"/>
              <w:jc w:val="center"/>
            </w:pPr>
            <w:r>
              <w:rPr>
                <w:rFonts w:ascii="Calibri" w:hAnsi="Calibri"/>
                <w:color w:val="718096"/>
                <w:sz w:val="16"/>
              </w:rPr>
              <w:t>Query 2 &amp; Query 3 View</w:t>
            </w:r>
          </w:p>
        </w:tc>
        <w:tc>
          <w:tcPr>
            <w:tcW w:type="dxa" w:w="1800"/>
            <w:shd w:fill="F1F5F9"/>
            <w:tcMar>
              <w:top w:w="100" w:type="dxa"/>
              <w:bottom w:w="100" w:type="dxa"/>
              <w:left w:w="60" w:type="dxa"/>
              <w:right w:w="60" w:type="dxa"/>
            </w:tcMar>
            <w:vAlign w:val="center"/>
          </w:tcPr>
          <w:p>
            <w:pPr>
              <w:spacing w:after="40"/>
              <w:jc w:val="center"/>
            </w:pPr>
            <w:r>
              <w:rPr>
                <w:rFonts w:ascii="Calibri" w:hAnsi="Calibri"/>
                <w:b/>
                <w:color w:val="1A365D"/>
                <w:sz w:val="18"/>
              </w:rPr>
              <w:t>5. Public Insights</w:t>
            </w:r>
          </w:p>
          <w:p>
            <w:pPr>
              <w:spacing w:after="0"/>
              <w:jc w:val="center"/>
            </w:pPr>
            <w:r>
              <w:rPr>
                <w:rFonts w:ascii="Calibri" w:hAnsi="Calibri"/>
                <w:color w:val="718096"/>
                <w:sz w:val="16"/>
              </w:rPr>
              <w:t>Briefs / Radio</w:t>
            </w:r>
          </w:p>
        </w:tc>
      </w:tr>
    </w:tbl>
    <w:p>
      <w:pPr>
        <w:spacing w:after="160"/>
      </w:pPr>
    </w:p>
    <w:p>
      <w:pPr>
        <w:keepNext/>
        <w:spacing w:before="280" w:after="80"/>
      </w:pPr>
      <w:r>
        <w:rPr>
          <w:rFonts w:ascii="Calibri" w:hAnsi="Calibri"/>
          <w:b/>
          <w:color w:val="0D9488"/>
          <w:sz w:val="28"/>
        </w:rPr>
        <w:t>Stage 1: Text Extraction &amp; Named Entity Recognition (NER)</w:t>
      </w:r>
    </w:p>
    <w:p>
      <w:pPr>
        <w:spacing w:after="120" w:line="276" w:lineRule="auto"/>
      </w:pPr>
      <w:r>
        <w:t>Policy texts (e.g., National Climate Change Management Policy, Forestry Act, Disaster Risk Management policy documents) were ingested using automated language-processing algorithms. A tool called Named Entity Recognition (NER) acted as an intelligent highlighter, identifying and categorising key textual entities into:</w:t>
      </w:r>
    </w:p>
    <w:p>
      <w:pPr>
        <w:pStyle w:val="ListBullet"/>
        <w:spacing w:after="60"/>
      </w:pPr>
      <w:r>
        <w:rPr>
          <w:b/>
        </w:rPr>
        <w:t xml:space="preserve">Organizations (ORG): </w:t>
      </w:r>
      <w:r>
        <w:t>Ministry of Agriculture, World Bank, UNDP, DoDMA, VNRMCs.</w:t>
      </w:r>
    </w:p>
    <w:p>
      <w:pPr>
        <w:pStyle w:val="ListBullet"/>
        <w:spacing w:after="160"/>
      </w:pPr>
      <w:r>
        <w:rPr>
          <w:b/>
        </w:rPr>
        <w:t xml:space="preserve">Geopolitical Entities (GPE): </w:t>
      </w:r>
      <w:r>
        <w:t>Malawi, Lilongwe, Zomba, Shire River Basin, specific districts.</w:t>
      </w:r>
    </w:p>
    <w:p>
      <w:pPr>
        <w:keepNext/>
        <w:spacing w:before="280" w:after="80"/>
      </w:pPr>
      <w:r>
        <w:rPr>
          <w:rFonts w:ascii="Calibri" w:hAnsi="Calibri"/>
          <w:b/>
          <w:color w:val="0D9488"/>
          <w:sz w:val="28"/>
        </w:rPr>
        <w:t>Stage 2: Database Structuring &amp; Data Cleansing</w:t>
      </w:r>
    </w:p>
    <w:p>
      <w:pPr>
        <w:spacing w:after="120" w:line="276" w:lineRule="auto"/>
      </w:pPr>
      <w:r>
        <w:t>The extracted entities, policy documents, and overarching themes were loaded into a relational database (</w:t>
      </w:r>
      <w:r>
        <w:rPr>
          <w:rFonts w:ascii="Consolas" w:hAnsi="Consolas"/>
        </w:rPr>
        <w:t>environmental_policy_db</w:t>
      </w:r>
      <w:r>
        <w:t xml:space="preserve">) structured across key relational tables: </w:t>
      </w:r>
      <w:r>
        <w:rPr>
          <w:rFonts w:ascii="Consolas" w:hAnsi="Consolas"/>
        </w:rPr>
        <w:t>documents, topics, entities,</w:t>
      </w:r>
      <w:r>
        <w:t xml:space="preserve"> and </w:t>
      </w:r>
      <w:r>
        <w:rPr>
          <w:rFonts w:ascii="Consolas" w:hAnsi="Consolas"/>
        </w:rPr>
        <w:t>document_entities</w:t>
      </w:r>
      <w:r>
        <w:t>.</w:t>
      </w:r>
    </w:p>
    <w:p>
      <w:pPr>
        <w:spacing w:after="120" w:line="276" w:lineRule="auto"/>
      </w:pPr>
      <w:r>
        <w:rPr>
          <w:b/>
        </w:rPr>
        <w:t xml:space="preserve">Data Sanitation (Resolving Hidden Control Characters): </w:t>
      </w:r>
      <w:r>
        <w:t>Raw data imported across operating systems often includes invisible carriage return codes (\r\n). To prevent computational silent errors where 'ORG\r' fails to match 'ORG', an automated data sanitation update was executed across all 611 entity records: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6" w:space="0" w:color="0D9488"/>
              <w:bottom w:val="none"/>
              <w:right w:val="none"/>
            </w:tcBorders>
            <w:tcMar>
              <w:top w:w="160" w:type="dxa"/>
              <w:bottom w:w="160" w:type="dxa"/>
              <w:left w:w="200" w:type="dxa"/>
              <w:right w:w="200" w:type="dxa"/>
            </w:tcMar>
          </w:tcPr>
          <w:p>
            <w:pPr>
              <w:spacing w:before="0" w:after="80" w:line="276" w:lineRule="auto"/>
            </w:pPr>
            <w:r>
              <w:rPr>
                <w:rFonts w:ascii="Calibri" w:hAnsi="Calibri"/>
                <w:b/>
                <w:color w:val="1A365D"/>
                <w:sz w:val="22"/>
              </w:rPr>
              <w:t>SQL Sanitation Query</w:t>
            </w:r>
          </w:p>
          <w:p>
            <w:pPr>
              <w:spacing w:before="0" w:after="0" w:line="276" w:lineRule="auto"/>
            </w:pPr>
            <w:r>
              <w:rPr>
                <w:rFonts w:ascii="Calibri" w:hAnsi="Calibri"/>
                <w:i/>
                <w:color w:val="2D3748"/>
                <w:sz w:val="21"/>
              </w:rPr>
              <w:t>Cleaned Label = TRIM(REPLACE(REPLACE(entity_label, '\r', ''), '\n', ''))</w:t>
            </w:r>
          </w:p>
        </w:tc>
      </w:tr>
    </w:tbl>
    <w:p>
      <w:pPr>
        <w:spacing w:before="0" w:after="120"/>
      </w:pPr>
    </w:p>
    <w:p>
      <w:pPr>
        <w:keepNext/>
        <w:spacing w:before="280" w:after="80"/>
      </w:pPr>
      <w:r>
        <w:rPr>
          <w:rFonts w:ascii="Calibri" w:hAnsi="Calibri"/>
          <w:b/>
          <w:color w:val="0D9488"/>
          <w:sz w:val="28"/>
        </w:rPr>
        <w:t>Stage 3: Cross-Topic Mapping (Query 2 Logic)</w:t>
      </w:r>
    </w:p>
    <w:p>
      <w:pPr>
        <w:spacing w:after="80" w:line="276" w:lineRule="auto"/>
      </w:pPr>
      <w:r>
        <w:t>To determine which actors influence multiple policy arenas, SQL queries combined entity frequency data with document topics:</w:t>
      </w:r>
    </w:p>
    <w:p>
      <w:pPr>
        <w:pStyle w:val="ListBullet"/>
        <w:spacing w:after="60"/>
      </w:pPr>
      <w:r>
        <w:rPr>
          <w:b/>
        </w:rPr>
        <w:t xml:space="preserve">Global Mentions: </w:t>
      </w:r>
      <w:r>
        <w:t>The absolute total times an entity appears across the entire policy database.</w:t>
      </w:r>
    </w:p>
    <w:p>
      <w:pPr>
        <w:pStyle w:val="ListBullet"/>
        <w:spacing w:after="120"/>
      </w:pPr>
      <w:r>
        <w:rPr>
          <w:b/>
        </w:rPr>
        <w:t xml:space="preserve">Topic Share Percentage: </w:t>
      </w:r>
      <w:r>
        <w:t>Calculated by dividing an entity’s mentions within a specific policy theme by its global mention count:</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6" w:space="0" w:color="0D9488"/>
              <w:bottom w:val="none"/>
              <w:right w:val="none"/>
            </w:tcBorders>
            <w:tcMar>
              <w:top w:w="160" w:type="dxa"/>
              <w:bottom w:w="160" w:type="dxa"/>
              <w:left w:w="200" w:type="dxa"/>
              <w:right w:w="200" w:type="dxa"/>
            </w:tcMar>
          </w:tcPr>
          <w:p>
            <w:pPr>
              <w:spacing w:before="0" w:after="80" w:line="276" w:lineRule="auto"/>
            </w:pPr>
            <w:r>
              <w:rPr>
                <w:rFonts w:ascii="Calibri" w:hAnsi="Calibri"/>
                <w:b/>
                <w:color w:val="1A365D"/>
                <w:sz w:val="22"/>
              </w:rPr>
              <w:t>Formula: Topic Share</w:t>
            </w:r>
          </w:p>
          <w:p>
            <w:pPr>
              <w:spacing w:before="0" w:after="0" w:line="276" w:lineRule="auto"/>
            </w:pPr>
            <w:r>
              <w:rPr>
                <w:rFonts w:ascii="Calibri" w:hAnsi="Calibri"/>
                <w:i/>
                <w:color w:val="2D3748"/>
                <w:sz w:val="21"/>
              </w:rPr>
              <w:t>Topic Share (%) = (Mentions in Specific Topic / Global Entity Mentions) × 100</w:t>
            </w:r>
          </w:p>
        </w:tc>
      </w:tr>
    </w:tbl>
    <w:p>
      <w:pPr>
        <w:spacing w:before="0" w:after="120"/>
      </w:pPr>
    </w:p>
    <w:p>
      <w:pPr>
        <w:keepNext/>
        <w:spacing w:before="280" w:after="80"/>
      </w:pPr>
      <w:r>
        <w:rPr>
          <w:rFonts w:ascii="Calibri" w:hAnsi="Calibri"/>
          <w:b/>
          <w:color w:val="0D9488"/>
          <w:sz w:val="28"/>
        </w:rPr>
        <w:t>Stage 4: Document Complexity &amp; Density Indexing (Query 3 / View Logic)</w:t>
      </w:r>
    </w:p>
    <w:p>
      <w:pPr>
        <w:spacing w:after="120" w:line="276" w:lineRule="auto"/>
      </w:pPr>
      <w:r>
        <w:t>To assess how readable, focused, or administrative a policy text is, a dedicated analytical view (</w:t>
      </w:r>
      <w:r>
        <w:rPr>
          <w:rFonts w:ascii="Consolas" w:hAnsi="Consolas"/>
        </w:rPr>
        <w:t>vw_document_policy_summary</w:t>
      </w:r>
      <w:r>
        <w:t>) was built using the Entity Repetition Ratio:</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36" w:space="0" w:color="0D9488"/>
              <w:bottom w:val="none"/>
              <w:right w:val="none"/>
            </w:tcBorders>
            <w:tcMar>
              <w:top w:w="160" w:type="dxa"/>
              <w:bottom w:w="160" w:type="dxa"/>
              <w:left w:w="200" w:type="dxa"/>
              <w:right w:w="200" w:type="dxa"/>
            </w:tcMar>
          </w:tcPr>
          <w:p>
            <w:pPr>
              <w:spacing w:before="0" w:after="80" w:line="276" w:lineRule="auto"/>
            </w:pPr>
            <w:r>
              <w:rPr>
                <w:rFonts w:ascii="Calibri" w:hAnsi="Calibri"/>
                <w:b/>
                <w:color w:val="1A365D"/>
                <w:sz w:val="22"/>
              </w:rPr>
              <w:t>Formula: Complexity Index</w:t>
            </w:r>
          </w:p>
          <w:p>
            <w:pPr>
              <w:spacing w:before="0" w:after="0" w:line="276" w:lineRule="auto"/>
            </w:pPr>
            <w:r>
              <w:rPr>
                <w:rFonts w:ascii="Calibri" w:hAnsi="Calibri"/>
                <w:i/>
                <w:color w:val="2D3748"/>
                <w:sz w:val="21"/>
              </w:rPr>
              <w:t>Entity Repetition Ratio = Total Entity Mentions / Unique Entity Count</w:t>
            </w:r>
          </w:p>
        </w:tc>
      </w:tr>
    </w:tbl>
    <w:p>
      <w:pPr>
        <w:spacing w:before="0" w:after="120"/>
      </w:pPr>
    </w:p>
    <w:p>
      <w:pPr>
        <w:spacing w:after="80"/>
      </w:pPr>
      <w:r>
        <w:rPr>
          <w:b/>
          <w:color w:val="1A365D"/>
        </w:rPr>
        <w:t>Understanding the Ratio (An Analogy for Non-Experts):</w:t>
      </w:r>
    </w:p>
    <w:p>
      <w:pPr>
        <w:pStyle w:val="ListBullet"/>
        <w:spacing w:after="80"/>
      </w:pPr>
      <w:r>
        <w:rPr>
          <w:b/>
        </w:rPr>
        <w:t xml:space="preserve">Low Ratio (≈ 1.0 to 1.5): </w:t>
      </w:r>
      <w:r>
        <w:t>A 40-page policy that mentions 80 different organisations and locations only once or twice. This indicates a scattered, cluttered document where responsibility is spread thin across dozens of peripheral bodies.</w:t>
      </w:r>
    </w:p>
    <w:p>
      <w:pPr>
        <w:pStyle w:val="ListBullet"/>
        <w:spacing w:after="240"/>
      </w:pPr>
      <w:r>
        <w:rPr>
          <w:b/>
        </w:rPr>
        <w:t xml:space="preserve">High Ratio (&gt; 3.0): </w:t>
      </w:r>
      <w:r>
        <w:t>A policy that mentions 5 core authorities repeatedly (e.g., 15 to 20 times each). This indicates a highly focused policy text with clear anchors and unambiguous lines of accountability.</w:t>
      </w:r>
    </w:p>
    <w:p>
      <w:pPr>
        <w:keepNext/>
        <w:spacing w:before="360" w:after="120"/>
        <w:pBdr>
          <w:bottom w:val="single" w:sz="12" w:space="4" w:color="0D9488"/>
        </w:pBdr>
      </w:pPr>
      <w:r>
        <w:rPr>
          <w:rFonts w:ascii="Calibri Light" w:hAnsi="Calibri Light"/>
          <w:b/>
          <w:color w:val="1A365D"/>
          <w:sz w:val="36"/>
        </w:rPr>
        <w:t>3. Value for Policy Makers and Government Agencies</w:t>
      </w:r>
    </w:p>
    <w:p>
      <w:pPr>
        <w:keepNext/>
        <w:spacing w:before="280" w:after="80"/>
      </w:pPr>
      <w:r>
        <w:rPr>
          <w:rFonts w:ascii="Calibri" w:hAnsi="Calibri"/>
          <w:b/>
          <w:color w:val="0D9488"/>
          <w:sz w:val="28"/>
        </w:rPr>
        <w:t>1. Eliminating Institutional Silos and Policy Overlap</w:t>
      </w:r>
    </w:p>
    <w:p>
      <w:pPr>
        <w:spacing w:after="80" w:line="276" w:lineRule="auto"/>
      </w:pPr>
      <w:r>
        <w:rPr>
          <w:b/>
        </w:rPr>
        <w:t xml:space="preserve">Cross-Domain Mapping: </w:t>
      </w:r>
      <w:r>
        <w:t>Environmental governance in Malawi is distributed across distinct portfolios, including the Ministry of Natural Resources and Climate Change, the Ministry of Agriculture, and the Department of Disaster Management Affairs (DoDMA). Cross-topic query results reveal where institutional mandates intersect.</w:t>
      </w:r>
    </w:p>
    <w:p>
      <w:pPr>
        <w:spacing w:after="160" w:line="276" w:lineRule="auto"/>
      </w:pPr>
      <w:r>
        <w:rPr>
          <w:b/>
        </w:rPr>
        <w:t xml:space="preserve">Strategic Alignment: </w:t>
      </w:r>
      <w:r>
        <w:t>Cabinet committees and Principal Secretaries can pinpoint structural overlaps—such as conflicting land-use directives between agricultural expansion policies and forestry conservation acts—and assign explicit leadership to close policy gaps.</w:t>
      </w:r>
    </w:p>
    <w:p>
      <w:pPr>
        <w:keepNext/>
        <w:spacing w:before="280" w:after="80"/>
      </w:pPr>
      <w:r>
        <w:rPr>
          <w:rFonts w:ascii="Calibri" w:hAnsi="Calibri"/>
          <w:b/>
          <w:color w:val="0D9488"/>
          <w:sz w:val="28"/>
        </w:rPr>
        <w:t>2. Monitoring Donor Dependency and Stakeholder Power Dynamics</w:t>
      </w:r>
    </w:p>
    <w:p>
      <w:pPr>
        <w:spacing w:after="80" w:line="276" w:lineRule="auto"/>
      </w:pPr>
      <w:r>
        <w:rPr>
          <w:b/>
        </w:rPr>
        <w:t xml:space="preserve">Actor Salience Tracking: </w:t>
      </w:r>
      <w:r>
        <w:t>Mapping international development partners (e.g., UNDP, World Bank, USAID) alongside local statutory bodies reveals the relative institutional weight of external funding agencies within specific sub-sectors.</w:t>
      </w:r>
    </w:p>
    <w:p>
      <w:pPr>
        <w:spacing w:after="160" w:line="276" w:lineRule="auto"/>
      </w:pPr>
      <w:r>
        <w:rPr>
          <w:b/>
        </w:rPr>
        <w:t xml:space="preserve">Data-Driven Coordination: </w:t>
      </w:r>
      <w:r>
        <w:t>Public planners can evaluate whether donor resource allocations align directly with national development goals (such as Malawi 2063) or whether certain vital sectors are left under-resourced due to shifting donor priorities.</w:t>
      </w:r>
    </w:p>
    <w:p>
      <w:pPr>
        <w:keepNext/>
        <w:spacing w:before="280" w:after="80"/>
      </w:pPr>
      <w:r>
        <w:rPr>
          <w:rFonts w:ascii="Calibri" w:hAnsi="Calibri"/>
          <w:b/>
          <w:color w:val="0D9488"/>
          <w:sz w:val="28"/>
        </w:rPr>
        <w:t>3. Streamlining Legislative and Policy Drafting</w:t>
      </w:r>
    </w:p>
    <w:p>
      <w:pPr>
        <w:spacing w:after="80" w:line="276" w:lineRule="auto"/>
      </w:pPr>
      <w:r>
        <w:rPr>
          <w:b/>
        </w:rPr>
        <w:t xml:space="preserve">Pre-Enactment Audits: </w:t>
      </w:r>
      <w:r>
        <w:t>Legislative drafters and departmental heads can run draft policies through the complexity index before formal publication.</w:t>
      </w:r>
    </w:p>
    <w:p>
      <w:pPr>
        <w:spacing w:after="240" w:line="276" w:lineRule="auto"/>
      </w:pPr>
      <w:r>
        <w:rPr>
          <w:b/>
        </w:rPr>
        <w:t xml:space="preserve">Ensuring Enforceability: </w:t>
      </w:r>
      <w:r>
        <w:t>If a draft policy yields an excessively low repetition ratio with hundreds of scattered entity mentions, drafters can refine the text to concentrate operational mandates onto primary local implementation channels, such as District Councils.</w:t>
      </w:r>
    </w:p>
    <w:p>
      <w:pPr>
        <w:keepNext/>
        <w:spacing w:before="360" w:after="120"/>
        <w:pBdr>
          <w:bottom w:val="single" w:sz="12" w:space="4" w:color="0D9488"/>
        </w:pBdr>
      </w:pPr>
      <w:r>
        <w:rPr>
          <w:rFonts w:ascii="Calibri Light" w:hAnsi="Calibri Light"/>
          <w:b/>
          <w:color w:val="1A365D"/>
          <w:sz w:val="36"/>
        </w:rPr>
        <w:t>4. Value for Local Communities, Civil Society, and Media</w:t>
      </w:r>
    </w:p>
    <w:p>
      <w:pPr>
        <w:keepNext/>
        <w:spacing w:before="280" w:after="80"/>
      </w:pPr>
      <w:r>
        <w:rPr>
          <w:rFonts w:ascii="Calibri" w:hAnsi="Calibri"/>
          <w:b/>
          <w:color w:val="0D9488"/>
          <w:sz w:val="28"/>
        </w:rPr>
        <w:t>1. Enhancing Public Accountability and Grassroots Advocacy</w:t>
      </w:r>
    </w:p>
    <w:p>
      <w:pPr>
        <w:spacing w:after="80" w:line="276" w:lineRule="auto"/>
      </w:pPr>
      <w:r>
        <w:rPr>
          <w:b/>
        </w:rPr>
        <w:t xml:space="preserve">Tracing Responsibility: </w:t>
      </w:r>
      <w:r>
        <w:t>Local communities frequently endure environmental pressures—such as illegal deforestation, watershed degradation, or industrial waste discharge—without clear knowledge of which authority holds legal jurisdiction.</w:t>
      </w:r>
    </w:p>
    <w:p>
      <w:pPr>
        <w:spacing w:after="160" w:line="276" w:lineRule="auto"/>
      </w:pPr>
      <w:r>
        <w:rPr>
          <w:b/>
        </w:rPr>
        <w:t xml:space="preserve">Targeted Engagement: </w:t>
      </w:r>
      <w:r>
        <w:t>Civil Society Organisations (CSOs) and Village Natural Resources Management Committees (VNRMCs) can use entity-frequency profiles to identify the exact statutory bodies responsible, transforming vague community petitions into targeted legal and administrative advocacy.</w:t>
      </w:r>
    </w:p>
    <w:p>
      <w:pPr>
        <w:keepNext/>
        <w:spacing w:before="280" w:after="80"/>
      </w:pPr>
      <w:r>
        <w:rPr>
          <w:rFonts w:ascii="Calibri" w:hAnsi="Calibri"/>
          <w:b/>
          <w:color w:val="0D9488"/>
          <w:sz w:val="28"/>
        </w:rPr>
        <w:t>2. Translating Dense Policies into Public Information</w:t>
      </w:r>
    </w:p>
    <w:p>
      <w:pPr>
        <w:spacing w:after="80" w:line="276" w:lineRule="auto"/>
      </w:pPr>
      <w:r>
        <w:rPr>
          <w:b/>
        </w:rPr>
        <w:t xml:space="preserve">Demystifying Bureaucracy: </w:t>
      </w:r>
      <w:r>
        <w:t>Environmental legislation and carbon trading regulations are published as complex, technical legal instruments.</w:t>
      </w:r>
    </w:p>
    <w:p>
      <w:pPr>
        <w:spacing w:after="160" w:line="276" w:lineRule="auto"/>
      </w:pPr>
      <w:r>
        <w:rPr>
          <w:b/>
        </w:rPr>
        <w:t xml:space="preserve">Media Communication Strategy: </w:t>
      </w:r>
      <w:r>
        <w:t>Environmental journalists can use document complexity metrics to identify cluttered policies that require public translation. Journalists can convert these insights into accessible formats, including Chichewa radio broadcasts, community policy briefs, and visual infographics.</w:t>
      </w:r>
    </w:p>
    <w:p>
      <w:pPr>
        <w:keepNext/>
        <w:spacing w:before="280" w:after="80"/>
      </w:pPr>
      <w:r>
        <w:rPr>
          <w:rFonts w:ascii="Calibri" w:hAnsi="Calibri"/>
          <w:b/>
          <w:color w:val="0D9488"/>
          <w:sz w:val="28"/>
        </w:rPr>
        <w:t>3. Strengthening District-Level Governance</w:t>
      </w:r>
    </w:p>
    <w:p>
      <w:pPr>
        <w:spacing w:after="80" w:line="276" w:lineRule="auto"/>
      </w:pPr>
      <w:r>
        <w:rPr>
          <w:b/>
        </w:rPr>
        <w:t xml:space="preserve">Supporting Decentralisation: </w:t>
      </w:r>
      <w:r>
        <w:t>District Councils in Malawi bear primary responsibility for localized environmental management and disaster risk reduction.</w:t>
      </w:r>
    </w:p>
    <w:p>
      <w:pPr>
        <w:spacing w:after="240" w:line="276" w:lineRule="auto"/>
      </w:pPr>
      <w:r>
        <w:rPr>
          <w:b/>
        </w:rPr>
        <w:t xml:space="preserve">Resource Auditing: </w:t>
      </w:r>
      <w:r>
        <w:t>Filtering network data by Geopolitical Entities (GPE) enables District Commissioners and planning officers to audit which non-governmental organisations (NGOs) and development projects are active in their jurisdiction, avoiding duplication and ensuring equitable rural coverage.</w:t>
      </w:r>
    </w:p>
    <w:p>
      <w:pPr>
        <w:keepNext/>
        <w:spacing w:before="360" w:after="120"/>
        <w:pBdr>
          <w:bottom w:val="single" w:sz="12" w:space="4" w:color="0D9488"/>
        </w:pBdr>
      </w:pPr>
      <w:r>
        <w:rPr>
          <w:rFonts w:ascii="Calibri Light" w:hAnsi="Calibri Light"/>
          <w:b/>
          <w:color w:val="1A365D"/>
          <w:sz w:val="36"/>
        </w:rPr>
        <w:t>5. Stakeholder Mapping Matrix</w:t>
      </w:r>
    </w:p>
    <w:p>
      <w:pPr>
        <w:spacing w:after="160" w:line="276" w:lineRule="auto"/>
      </w:pPr>
      <w:r>
        <w:t>The matrix below details how each primary stakeholder group leverages specific database outputs to drive policy reform and administrative oversight:</w:t>
      </w:r>
    </w:p>
    <w:tbl>
      <w:tblPr>
        <w:tblW w:type="auto" w:w="0"/>
        <w:jc w:val="center"/>
        <w:tblLayout w:type="fixed"/>
        <w:tblLook w:firstColumn="1" w:firstRow="1" w:lastColumn="0" w:lastRow="0" w:noHBand="0" w:noVBand="1" w:val="04A0"/>
        <w:tblBorders>
          <w:top w:val="single" w:sz="6" w:space="0" w:color="CBD5E1"/>
          <w:left w:val="none"/>
          <w:bottom w:val="single" w:sz="8" w:space="0" w:color="1A365D"/>
          <w:right w:val="none"/>
          <w:insideH w:val="single" w:sz="4" w:space="0" w:color="CBD5E1"/>
          <w:insideV w:val="none"/>
        </w:tblBorders>
      </w:tblPr>
      <w:tblGrid>
        <w:gridCol w:w="3120"/>
        <w:gridCol w:w="3120"/>
        <w:gridCol w:w="3120"/>
      </w:tblGrid>
      <w:tr>
        <w:tc>
          <w:tcPr>
            <w:tcW w:type="dxa" w:w="2592"/>
            <w:vAlign w:val="center"/>
            <w:tcMar>
              <w:top w:w="120" w:type="dxa"/>
              <w:bottom w:w="120" w:type="dxa"/>
              <w:left w:w="140" w:type="dxa"/>
              <w:right w:w="140" w:type="dxa"/>
            </w:tcMar>
            <w:shd w:fill="1A365D"/>
          </w:tcPr>
          <w:p>
            <w:pPr>
              <w:spacing w:before="0" w:after="0" w:line="276" w:lineRule="auto"/>
            </w:pPr>
            <w:r>
              <w:rPr>
                <w:rFonts w:ascii="Calibri" w:hAnsi="Calibri"/>
                <w:b/>
                <w:color w:val="FFFFFF"/>
                <w:sz w:val="20"/>
              </w:rPr>
              <w:t>Stakeholder Group</w:t>
            </w:r>
          </w:p>
        </w:tc>
        <w:tc>
          <w:tcPr>
            <w:tcW w:type="dxa" w:w="3168"/>
            <w:vAlign w:val="center"/>
            <w:tcMar>
              <w:top w:w="120" w:type="dxa"/>
              <w:bottom w:w="120" w:type="dxa"/>
              <w:left w:w="140" w:type="dxa"/>
              <w:right w:w="140" w:type="dxa"/>
            </w:tcMar>
            <w:shd w:fill="1A365D"/>
          </w:tcPr>
          <w:p>
            <w:pPr>
              <w:spacing w:before="0" w:after="0" w:line="276" w:lineRule="auto"/>
            </w:pPr>
            <w:r>
              <w:rPr>
                <w:rFonts w:ascii="Calibri" w:hAnsi="Calibri"/>
                <w:b/>
                <w:color w:val="FFFFFF"/>
                <w:sz w:val="20"/>
              </w:rPr>
              <w:t>Core SQL Metric / Output</w:t>
            </w:r>
          </w:p>
        </w:tc>
        <w:tc>
          <w:tcPr>
            <w:tcW w:type="dxa" w:w="3600"/>
            <w:vAlign w:val="center"/>
            <w:tcMar>
              <w:top w:w="120" w:type="dxa"/>
              <w:bottom w:w="120" w:type="dxa"/>
              <w:left w:w="140" w:type="dxa"/>
              <w:right w:w="140" w:type="dxa"/>
            </w:tcMar>
            <w:shd w:fill="1A365D"/>
          </w:tcPr>
          <w:p>
            <w:pPr>
              <w:spacing w:before="0" w:after="0" w:line="276" w:lineRule="auto"/>
            </w:pPr>
            <w:r>
              <w:rPr>
                <w:rFonts w:ascii="Calibri" w:hAnsi="Calibri"/>
                <w:b/>
                <w:color w:val="FFFFFF"/>
                <w:sz w:val="20"/>
              </w:rPr>
              <w:t>Real-World Application in Malawi</w:t>
            </w:r>
          </w:p>
        </w:tc>
      </w:tr>
      <w:tr>
        <w:tc>
          <w:tcPr>
            <w:tcW w:type="dxa" w:w="2592"/>
            <w:vAlign w:val="center"/>
            <w:tcMar>
              <w:top w:w="120" w:type="dxa"/>
              <w:bottom w:w="120" w:type="dxa"/>
              <w:left w:w="140" w:type="dxa"/>
              <w:right w:w="140" w:type="dxa"/>
            </w:tcMar>
            <w:shd w:fill="FFFFFF"/>
          </w:tcPr>
          <w:p>
            <w:pPr>
              <w:spacing w:before="0" w:after="0" w:line="276" w:lineRule="auto"/>
            </w:pPr>
            <w:r>
              <w:rPr>
                <w:rFonts w:ascii="Calibri" w:hAnsi="Calibri"/>
                <w:b/>
                <w:color w:val="2D3748"/>
                <w:sz w:val="19"/>
              </w:rPr>
              <w:t>National Ministry Officials</w:t>
            </w:r>
          </w:p>
        </w:tc>
        <w:tc>
          <w:tcPr>
            <w:tcW w:type="dxa" w:w="3168"/>
            <w:vAlign w:val="center"/>
            <w:tcMar>
              <w:top w:w="120" w:type="dxa"/>
              <w:bottom w:w="120" w:type="dxa"/>
              <w:left w:w="140" w:type="dxa"/>
              <w:right w:w="140" w:type="dxa"/>
            </w:tcMar>
            <w:shd w:fill="FFFFFF"/>
          </w:tcPr>
          <w:p>
            <w:pPr>
              <w:spacing w:before="0" w:after="0" w:line="276" w:lineRule="auto"/>
            </w:pPr>
            <w:r>
              <w:rPr>
                <w:rFonts w:ascii="Calibri" w:hAnsi="Calibri"/>
                <w:color w:val="2D3748"/>
                <w:sz w:val="19"/>
              </w:rPr>
              <w:t>Cross-Topic Actor Shares (Query 2)</w:t>
            </w:r>
          </w:p>
        </w:tc>
        <w:tc>
          <w:tcPr>
            <w:tcW w:type="dxa" w:w="3600"/>
            <w:vAlign w:val="center"/>
            <w:tcMar>
              <w:top w:w="120" w:type="dxa"/>
              <w:bottom w:w="120" w:type="dxa"/>
              <w:left w:w="140" w:type="dxa"/>
              <w:right w:w="140" w:type="dxa"/>
            </w:tcMar>
            <w:shd w:fill="FFFFFF"/>
          </w:tcPr>
          <w:p>
            <w:pPr>
              <w:spacing w:before="0" w:after="0" w:line="276" w:lineRule="auto"/>
            </w:pPr>
            <w:r>
              <w:rPr>
                <w:rFonts w:ascii="Calibri" w:hAnsi="Calibri"/>
                <w:color w:val="2D3748"/>
                <w:sz w:val="19"/>
              </w:rPr>
              <w:t>Harmonising inter-ministerial climate adaptation policies and eliminating mandate overlaps.</w:t>
            </w:r>
          </w:p>
        </w:tc>
      </w:tr>
      <w:tr>
        <w:tc>
          <w:tcPr>
            <w:tcW w:type="dxa" w:w="2592"/>
            <w:vAlign w:val="center"/>
            <w:tcMar>
              <w:top w:w="120" w:type="dxa"/>
              <w:bottom w:w="120" w:type="dxa"/>
              <w:left w:w="140" w:type="dxa"/>
              <w:right w:w="140" w:type="dxa"/>
            </w:tcMar>
            <w:shd w:fill="F8FAFC"/>
          </w:tcPr>
          <w:p>
            <w:pPr>
              <w:spacing w:before="0" w:after="0" w:line="276" w:lineRule="auto"/>
            </w:pPr>
            <w:r>
              <w:rPr>
                <w:rFonts w:ascii="Calibri" w:hAnsi="Calibri"/>
                <w:b/>
                <w:color w:val="2D3748"/>
                <w:sz w:val="19"/>
              </w:rPr>
              <w:t>District Councils &amp; Planners</w:t>
            </w:r>
          </w:p>
        </w:tc>
        <w:tc>
          <w:tcPr>
            <w:tcW w:type="dxa" w:w="3168"/>
            <w:vAlign w:val="center"/>
            <w:tcMar>
              <w:top w:w="120" w:type="dxa"/>
              <w:bottom w:w="120" w:type="dxa"/>
              <w:left w:w="140" w:type="dxa"/>
              <w:right w:w="140" w:type="dxa"/>
            </w:tcMar>
            <w:shd w:fill="F8FAFC"/>
          </w:tcPr>
          <w:p>
            <w:pPr>
              <w:spacing w:before="0" w:after="0" w:line="276" w:lineRule="auto"/>
            </w:pPr>
            <w:r>
              <w:rPr>
                <w:rFonts w:ascii="Calibri" w:hAnsi="Calibri"/>
                <w:color w:val="2D3748"/>
                <w:sz w:val="19"/>
              </w:rPr>
              <w:t>Geographic Entity Filtering (GPE)</w:t>
            </w:r>
          </w:p>
        </w:tc>
        <w:tc>
          <w:tcPr>
            <w:tcW w:type="dxa" w:w="3600"/>
            <w:vAlign w:val="center"/>
            <w:tcMar>
              <w:top w:w="120" w:type="dxa"/>
              <w:bottom w:w="120" w:type="dxa"/>
              <w:left w:w="140" w:type="dxa"/>
              <w:right w:w="140" w:type="dxa"/>
            </w:tcMar>
            <w:shd w:fill="F8FAFC"/>
          </w:tcPr>
          <w:p>
            <w:pPr>
              <w:spacing w:before="0" w:after="0" w:line="276" w:lineRule="auto"/>
            </w:pPr>
            <w:r>
              <w:rPr>
                <w:rFonts w:ascii="Calibri" w:hAnsi="Calibri"/>
                <w:color w:val="2D3748"/>
                <w:sz w:val="19"/>
              </w:rPr>
              <w:t>Tracking district-level development actor presence and coordinating local resource allocation.</w:t>
            </w:r>
          </w:p>
        </w:tc>
      </w:tr>
      <w:tr>
        <w:tc>
          <w:tcPr>
            <w:tcW w:type="dxa" w:w="2592"/>
            <w:vAlign w:val="center"/>
            <w:tcMar>
              <w:top w:w="120" w:type="dxa"/>
              <w:bottom w:w="120" w:type="dxa"/>
              <w:left w:w="140" w:type="dxa"/>
              <w:right w:w="140" w:type="dxa"/>
            </w:tcMar>
            <w:shd w:fill="FFFFFF"/>
          </w:tcPr>
          <w:p>
            <w:pPr>
              <w:spacing w:before="0" w:after="0" w:line="276" w:lineRule="auto"/>
            </w:pPr>
            <w:r>
              <w:rPr>
                <w:rFonts w:ascii="Calibri" w:hAnsi="Calibri"/>
                <w:b/>
                <w:color w:val="2D3748"/>
                <w:sz w:val="19"/>
              </w:rPr>
              <w:t>Civil Society &amp; CSOs</w:t>
            </w:r>
          </w:p>
        </w:tc>
        <w:tc>
          <w:tcPr>
            <w:tcW w:type="dxa" w:w="3168"/>
            <w:vAlign w:val="center"/>
            <w:tcMar>
              <w:top w:w="120" w:type="dxa"/>
              <w:bottom w:w="120" w:type="dxa"/>
              <w:left w:w="140" w:type="dxa"/>
              <w:right w:w="140" w:type="dxa"/>
            </w:tcMar>
            <w:shd w:fill="FFFFFF"/>
          </w:tcPr>
          <w:p>
            <w:pPr>
              <w:spacing w:before="0" w:after="0" w:line="276" w:lineRule="auto"/>
            </w:pPr>
            <w:r>
              <w:rPr>
                <w:rFonts w:ascii="Calibri" w:hAnsi="Calibri"/>
                <w:color w:val="2D3748"/>
                <w:sz w:val="19"/>
              </w:rPr>
              <w:t>Global Mentions &amp; Network Density</w:t>
            </w:r>
          </w:p>
        </w:tc>
        <w:tc>
          <w:tcPr>
            <w:tcW w:type="dxa" w:w="3600"/>
            <w:vAlign w:val="center"/>
            <w:tcMar>
              <w:top w:w="120" w:type="dxa"/>
              <w:bottom w:w="120" w:type="dxa"/>
              <w:left w:w="140" w:type="dxa"/>
              <w:right w:w="140" w:type="dxa"/>
            </w:tcMar>
            <w:shd w:fill="FFFFFF"/>
          </w:tcPr>
          <w:p>
            <w:pPr>
              <w:spacing w:before="0" w:after="0" w:line="276" w:lineRule="auto"/>
            </w:pPr>
            <w:r>
              <w:rPr>
                <w:rFonts w:ascii="Calibri" w:hAnsi="Calibri"/>
                <w:color w:val="2D3748"/>
                <w:sz w:val="19"/>
              </w:rPr>
              <w:t>Holding international donors and statutory bodies accountable to community commitments.</w:t>
            </w:r>
          </w:p>
        </w:tc>
      </w:tr>
      <w:tr>
        <w:tc>
          <w:tcPr>
            <w:tcW w:type="dxa" w:w="2592"/>
            <w:vAlign w:val="center"/>
            <w:tcMar>
              <w:top w:w="120" w:type="dxa"/>
              <w:bottom w:w="120" w:type="dxa"/>
              <w:left w:w="140" w:type="dxa"/>
              <w:right w:w="140" w:type="dxa"/>
            </w:tcMar>
            <w:shd w:fill="F8FAFC"/>
          </w:tcPr>
          <w:p>
            <w:pPr>
              <w:spacing w:before="0" w:after="0" w:line="276" w:lineRule="auto"/>
            </w:pPr>
            <w:r>
              <w:rPr>
                <w:rFonts w:ascii="Calibri" w:hAnsi="Calibri"/>
                <w:b/>
                <w:color w:val="2D3748"/>
                <w:sz w:val="19"/>
              </w:rPr>
              <w:t>Journalists &amp; Communicators</w:t>
            </w:r>
          </w:p>
        </w:tc>
        <w:tc>
          <w:tcPr>
            <w:tcW w:type="dxa" w:w="3168"/>
            <w:vAlign w:val="center"/>
            <w:tcMar>
              <w:top w:w="120" w:type="dxa"/>
              <w:bottom w:w="120" w:type="dxa"/>
              <w:left w:w="140" w:type="dxa"/>
              <w:right w:w="140" w:type="dxa"/>
            </w:tcMar>
            <w:shd w:fill="F8FAFC"/>
          </w:tcPr>
          <w:p>
            <w:pPr>
              <w:spacing w:before="0" w:after="0" w:line="276" w:lineRule="auto"/>
            </w:pPr>
            <w:r>
              <w:rPr>
                <w:rFonts w:ascii="Calibri" w:hAnsi="Calibri"/>
                <w:color w:val="2D3748"/>
                <w:sz w:val="19"/>
              </w:rPr>
              <w:t>Entity Repetition Ratio (Query 3)</w:t>
            </w:r>
          </w:p>
        </w:tc>
        <w:tc>
          <w:tcPr>
            <w:tcW w:type="dxa" w:w="3600"/>
            <w:vAlign w:val="center"/>
            <w:tcMar>
              <w:top w:w="120" w:type="dxa"/>
              <w:bottom w:w="120" w:type="dxa"/>
              <w:left w:w="140" w:type="dxa"/>
              <w:right w:w="140" w:type="dxa"/>
            </w:tcMar>
            <w:shd w:fill="F8FAFC"/>
          </w:tcPr>
          <w:p>
            <w:pPr>
              <w:spacing w:before="0" w:after="0" w:line="276" w:lineRule="auto"/>
            </w:pPr>
            <w:r>
              <w:rPr>
                <w:rFonts w:ascii="Calibri" w:hAnsi="Calibri"/>
                <w:color w:val="2D3748"/>
                <w:sz w:val="19"/>
              </w:rPr>
              <w:t>Pinpointing complex, actor-heavy policies to translate into targeted community radio programming.</w:t>
            </w:r>
          </w:p>
        </w:tc>
      </w:tr>
    </w:tbl>
    <w:p>
      <w:pPr>
        <w:spacing w:after="240"/>
      </w:pPr>
    </w:p>
    <w:p>
      <w:pPr>
        <w:keepNext/>
        <w:spacing w:before="360" w:after="120"/>
        <w:pBdr>
          <w:bottom w:val="single" w:sz="12" w:space="4" w:color="0D9488"/>
        </w:pBdr>
      </w:pPr>
      <w:r>
        <w:rPr>
          <w:rFonts w:ascii="Calibri Light" w:hAnsi="Calibri Light"/>
          <w:b/>
          <w:color w:val="1A365D"/>
          <w:sz w:val="36"/>
        </w:rPr>
        <w:t>6. Actionable Implementation Roadmap</w:t>
      </w:r>
    </w:p>
    <w:tbl>
      <w:tblPr>
        <w:tblW w:type="auto" w:w="0"/>
        <w:jc w:val="center"/>
        <w:tblLayout w:type="fixed"/>
        <w:tblLook w:firstColumn="1" w:firstRow="1" w:lastColumn="0" w:lastRow="0" w:noHBand="0" w:noVBand="1" w:val="04A0"/>
      </w:tblPr>
      <w:tblGrid>
        <w:gridCol w:w="4680"/>
        <w:gridCol w:w="4680"/>
      </w:tblGrid>
      <w:tr>
        <w:tc>
          <w:tcPr>
            <w:tcW w:type="dxa" w:w="1728"/>
            <w:shd w:fill="0D9488"/>
            <w:tcMar>
              <w:top w:w="100" w:type="dxa"/>
              <w:bottom w:w="100" w:type="dxa"/>
              <w:left w:w="100" w:type="dxa"/>
              <w:right w:w="100" w:type="dxa"/>
            </w:tcMar>
            <w:vAlign w:val="center"/>
          </w:tcPr>
          <w:p>
            <w:pPr>
              <w:spacing w:after="0"/>
              <w:jc w:val="center"/>
            </w:pPr>
            <w:r>
              <w:rPr>
                <w:rFonts w:ascii="Calibri" w:hAnsi="Calibri"/>
                <w:b/>
                <w:color w:val="FFFFFF"/>
                <w:sz w:val="22"/>
              </w:rPr>
              <w:t>STEP 1</w:t>
            </w:r>
          </w:p>
        </w:tc>
        <w:tc>
          <w:tcPr>
            <w:tcW w:type="dxa" w:w="7632"/>
            <w:shd w:fill="F1F5F9"/>
            <w:tcMar>
              <w:top w:w="100" w:type="dxa"/>
              <w:bottom w:w="100" w:type="dxa"/>
              <w:left w:w="140" w:type="dxa"/>
              <w:right w:w="140" w:type="dxa"/>
            </w:tcMar>
            <w:vAlign w:val="center"/>
          </w:tcPr>
          <w:p>
            <w:pPr>
              <w:spacing w:after="40"/>
            </w:pPr>
            <w:r>
              <w:rPr>
                <w:rFonts w:ascii="Calibri" w:hAnsi="Calibri"/>
                <w:b/>
                <w:color w:val="1A365D"/>
                <w:sz w:val="21"/>
              </w:rPr>
              <w:t>Establish a Centralized Policy Analytics Repository in MySQL</w:t>
            </w:r>
          </w:p>
          <w:p>
            <w:pPr>
              <w:spacing w:after="0" w:line="276" w:lineRule="auto"/>
            </w:pPr>
            <w:r>
              <w:rPr>
                <w:rFonts w:ascii="Calibri" w:hAnsi="Calibri"/>
                <w:color w:val="2D3748"/>
                <w:sz w:val="19"/>
              </w:rPr>
              <w:t>Institutionalise the environmental_policy_db schema within government and academic research units to continuously ingest and audit emerging policy frameworks.</w:t>
            </w:r>
          </w:p>
        </w:tc>
      </w:tr>
    </w:tbl>
    <w:p>
      <w:pPr>
        <w:spacing w:before="0" w:after="80"/>
      </w:pPr>
    </w:p>
    <w:tbl>
      <w:tblPr>
        <w:tblW w:type="auto" w:w="0"/>
        <w:jc w:val="center"/>
        <w:tblLayout w:type="fixed"/>
        <w:tblLook w:firstColumn="1" w:firstRow="1" w:lastColumn="0" w:lastRow="0" w:noHBand="0" w:noVBand="1" w:val="04A0"/>
      </w:tblPr>
      <w:tblGrid>
        <w:gridCol w:w="4680"/>
        <w:gridCol w:w="4680"/>
      </w:tblGrid>
      <w:tr>
        <w:tc>
          <w:tcPr>
            <w:tcW w:type="dxa" w:w="1728"/>
            <w:shd w:fill="0D9488"/>
            <w:tcMar>
              <w:top w:w="100" w:type="dxa"/>
              <w:bottom w:w="100" w:type="dxa"/>
              <w:left w:w="100" w:type="dxa"/>
              <w:right w:w="100" w:type="dxa"/>
            </w:tcMar>
            <w:vAlign w:val="center"/>
          </w:tcPr>
          <w:p>
            <w:pPr>
              <w:spacing w:after="0"/>
              <w:jc w:val="center"/>
            </w:pPr>
            <w:r>
              <w:rPr>
                <w:rFonts w:ascii="Calibri" w:hAnsi="Calibri"/>
                <w:b/>
                <w:color w:val="FFFFFF"/>
                <w:sz w:val="22"/>
              </w:rPr>
              <w:t>STEP 2</w:t>
            </w:r>
          </w:p>
        </w:tc>
        <w:tc>
          <w:tcPr>
            <w:tcW w:type="dxa" w:w="7632"/>
            <w:shd w:fill="F1F5F9"/>
            <w:tcMar>
              <w:top w:w="100" w:type="dxa"/>
              <w:bottom w:w="100" w:type="dxa"/>
              <w:left w:w="140" w:type="dxa"/>
              <w:right w:w="140" w:type="dxa"/>
            </w:tcMar>
            <w:vAlign w:val="center"/>
          </w:tcPr>
          <w:p>
            <w:pPr>
              <w:spacing w:after="40"/>
            </w:pPr>
            <w:r>
              <w:rPr>
                <w:rFonts w:ascii="Calibri" w:hAnsi="Calibri"/>
                <w:b/>
                <w:color w:val="1A365D"/>
                <w:sz w:val="21"/>
              </w:rPr>
              <w:t>Audit Existing Environmental Acts for Operational Complexity</w:t>
            </w:r>
          </w:p>
          <w:p>
            <w:pPr>
              <w:spacing w:after="0" w:line="276" w:lineRule="auto"/>
            </w:pPr>
            <w:r>
              <w:rPr>
                <w:rFonts w:ascii="Calibri" w:hAnsi="Calibri"/>
                <w:color w:val="2D3748"/>
                <w:sz w:val="19"/>
              </w:rPr>
              <w:t>Conduct pre-enactment evaluations of pending bills to ensure high entity repetition ratios and clear organizational accountability prior to parliamentary debate.</w:t>
            </w:r>
          </w:p>
        </w:tc>
      </w:tr>
    </w:tbl>
    <w:p>
      <w:pPr>
        <w:spacing w:before="0" w:after="80"/>
      </w:pPr>
    </w:p>
    <w:tbl>
      <w:tblPr>
        <w:tblW w:type="auto" w:w="0"/>
        <w:jc w:val="center"/>
        <w:tblLayout w:type="fixed"/>
        <w:tblLook w:firstColumn="1" w:firstRow="1" w:lastColumn="0" w:lastRow="0" w:noHBand="0" w:noVBand="1" w:val="04A0"/>
      </w:tblPr>
      <w:tblGrid>
        <w:gridCol w:w="4680"/>
        <w:gridCol w:w="4680"/>
      </w:tblGrid>
      <w:tr>
        <w:tc>
          <w:tcPr>
            <w:tcW w:type="dxa" w:w="1728"/>
            <w:shd w:fill="0D9488"/>
            <w:tcMar>
              <w:top w:w="100" w:type="dxa"/>
              <w:bottom w:w="100" w:type="dxa"/>
              <w:left w:w="100" w:type="dxa"/>
              <w:right w:w="100" w:type="dxa"/>
            </w:tcMar>
            <w:vAlign w:val="center"/>
          </w:tcPr>
          <w:p>
            <w:pPr>
              <w:spacing w:after="0"/>
              <w:jc w:val="center"/>
            </w:pPr>
            <w:r>
              <w:rPr>
                <w:rFonts w:ascii="Calibri" w:hAnsi="Calibri"/>
                <w:b/>
                <w:color w:val="FFFFFF"/>
                <w:sz w:val="22"/>
              </w:rPr>
              <w:t>STEP 3</w:t>
            </w:r>
          </w:p>
        </w:tc>
        <w:tc>
          <w:tcPr>
            <w:tcW w:type="dxa" w:w="7632"/>
            <w:shd w:fill="F1F5F9"/>
            <w:tcMar>
              <w:top w:w="100" w:type="dxa"/>
              <w:bottom w:w="100" w:type="dxa"/>
              <w:left w:w="140" w:type="dxa"/>
              <w:right w:w="140" w:type="dxa"/>
            </w:tcMar>
            <w:vAlign w:val="center"/>
          </w:tcPr>
          <w:p>
            <w:pPr>
              <w:spacing w:after="40"/>
            </w:pPr>
            <w:r>
              <w:rPr>
                <w:rFonts w:ascii="Calibri" w:hAnsi="Calibri"/>
                <w:b/>
                <w:color w:val="1A365D"/>
                <w:sz w:val="21"/>
              </w:rPr>
              <w:t>Publish Plain-Language Community Policy Briefs and Media Kits</w:t>
            </w:r>
          </w:p>
          <w:p>
            <w:pPr>
              <w:spacing w:after="0" w:line="276" w:lineRule="auto"/>
            </w:pPr>
            <w:r>
              <w:rPr>
                <w:rFonts w:ascii="Calibri" w:hAnsi="Calibri"/>
                <w:color w:val="2D3748"/>
                <w:sz w:val="19"/>
              </w:rPr>
              <w:t>Provide newsrooms and community radio stations with entity profiles so reporters can ask precise questions during public accountability forums.</w:t>
            </w:r>
          </w:p>
        </w:tc>
      </w:tr>
    </w:tbl>
    <w:p>
      <w:pPr>
        <w:spacing w:before="0" w:after="80"/>
      </w:pPr>
    </w:p>
    <w:tbl>
      <w:tblPr>
        <w:tblW w:type="auto" w:w="0"/>
        <w:jc w:val="center"/>
        <w:tblLayout w:type="fixed"/>
        <w:tblLook w:firstColumn="1" w:firstRow="1" w:lastColumn="0" w:lastRow="0" w:noHBand="0" w:noVBand="1" w:val="04A0"/>
      </w:tblPr>
      <w:tblGrid>
        <w:gridCol w:w="4680"/>
        <w:gridCol w:w="4680"/>
      </w:tblGrid>
      <w:tr>
        <w:tc>
          <w:tcPr>
            <w:tcW w:type="dxa" w:w="1728"/>
            <w:shd w:fill="0D9488"/>
            <w:tcMar>
              <w:top w:w="100" w:type="dxa"/>
              <w:bottom w:w="100" w:type="dxa"/>
              <w:left w:w="100" w:type="dxa"/>
              <w:right w:w="100" w:type="dxa"/>
            </w:tcMar>
            <w:vAlign w:val="center"/>
          </w:tcPr>
          <w:p>
            <w:pPr>
              <w:spacing w:after="0"/>
              <w:jc w:val="center"/>
            </w:pPr>
            <w:r>
              <w:rPr>
                <w:rFonts w:ascii="Calibri" w:hAnsi="Calibri"/>
                <w:b/>
                <w:color w:val="FFFFFF"/>
                <w:sz w:val="22"/>
              </w:rPr>
              <w:t>STEP 4</w:t>
            </w:r>
          </w:p>
        </w:tc>
        <w:tc>
          <w:tcPr>
            <w:tcW w:type="dxa" w:w="7632"/>
            <w:shd w:fill="F1F5F9"/>
            <w:tcMar>
              <w:top w:w="100" w:type="dxa"/>
              <w:bottom w:w="100" w:type="dxa"/>
              <w:left w:w="140" w:type="dxa"/>
              <w:right w:w="140" w:type="dxa"/>
            </w:tcMar>
            <w:vAlign w:val="center"/>
          </w:tcPr>
          <w:p>
            <w:pPr>
              <w:spacing w:after="40"/>
            </w:pPr>
            <w:r>
              <w:rPr>
                <w:rFonts w:ascii="Calibri" w:hAnsi="Calibri"/>
                <w:b/>
                <w:color w:val="1A365D"/>
                <w:sz w:val="21"/>
              </w:rPr>
              <w:t>Integrate Metrics into District Development Plans (DDPs)</w:t>
            </w:r>
          </w:p>
          <w:p>
            <w:pPr>
              <w:spacing w:after="0" w:line="276" w:lineRule="auto"/>
            </w:pPr>
            <w:r>
              <w:rPr>
                <w:rFonts w:ascii="Calibri" w:hAnsi="Calibri"/>
                <w:color w:val="2D3748"/>
                <w:sz w:val="19"/>
              </w:rPr>
              <w:t>Utilize local entity filtering (GPE) during annual district planning reviews to ensure NGO activities align directly with local government priorities.</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