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44"/>
        </w:rPr>
        <w:t>Computational Analysis of Environmental Policy Frameworks in Malawi</w:t>
      </w:r>
    </w:p>
    <w:p>
      <w:r>
        <w:rPr>
          <w:i/>
          <w:color w:val="555555"/>
          <w:sz w:val="28"/>
        </w:rPr>
        <w:t>Translating Database Metrics into Actionable Policy Intelligence</w:t>
      </w:r>
    </w:p>
    <w:p>
      <w:r>
        <w:t>Focus Region: Malawi (National &amp; District Level)</w:t>
        <w:br/>
        <w:t>Target Audience: Policy Makers, CSOs, District Planning Units, Journalists</w:t>
        <w:br/>
        <w:t>Methodology: Named Entity Recognition (NER), SQL Database Analytics, Policy Profiling</w:t>
      </w:r>
    </w:p>
    <w:p>
      <w:pPr>
        <w:pStyle w:val="Heading1"/>
      </w:pPr>
      <w:r>
        <w:t>1. Executive Summary</w:t>
      </w:r>
    </w:p>
    <w:p>
      <w:r>
        <w:t>Environmental governance in Malawi operates across a complex landscape of legislative acts, national policies, international treaties, and donor-funded strategies. Navigating these dense frameworks presents significant challenges for decision-makers seeking to avoid institutional overlap, as well as for journalists and citizens striving to hold authorities accountable.</w:t>
        <w:br/>
        <w:br/>
        <w:t>This report demonstrates how relational database analytics (MySQL) and computational text processing transform multi-page policy frameworks into clear, data-driven intelligence.</w:t>
      </w:r>
    </w:p>
    <w:p>
      <w:pPr>
        <w:pStyle w:val="Heading1"/>
      </w:pPr>
      <w:r>
        <w:t>2. Methodology: How Results Were Arrived At</w:t>
      </w:r>
    </w:p>
    <w:p>
      <w:r>
        <w:t>To ensure transparency for non-experts, journalists, and public administrators, the analytical pipeline follows three stages:</w:t>
        <w:br/>
        <w:t>1. Text Extraction &amp; Named Entity Recognition (NER) to tag ORGs and GPEs.</w:t>
        <w:br/>
        <w:t>2. Data Cleansing &amp; Sanitation (removing carriage returns \r\n across 611 records).</w:t>
        <w:br/>
        <w:t>3. SQL Aggregation (Query 2) &amp; Document Complexity Indexing (Query 3 View).</w:t>
      </w:r>
    </w:p>
    <w:p>
      <w:pPr>
        <w:pStyle w:val="Heading1"/>
      </w:pPr>
      <w:r>
        <w:t>3. Stakeholder Impact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65D"/>
          </w:tcPr>
          <w:p>
            <w:r>
              <w:rPr>
                <w:b/>
                <w:color w:val="FFFFFF"/>
              </w:rPr>
              <w:t>Stakeholder Group</w:t>
            </w:r>
          </w:p>
        </w:tc>
        <w:tc>
          <w:tcPr>
            <w:tcW w:type="dxa" w:w="3120"/>
            <w:shd w:val="clear" w:color="auto" w:fill="1B365D"/>
          </w:tcPr>
          <w:p>
            <w:r>
              <w:rPr>
                <w:b/>
                <w:color w:val="FFFFFF"/>
              </w:rPr>
              <w:t>Core SQL Metric / Output</w:t>
            </w:r>
          </w:p>
        </w:tc>
        <w:tc>
          <w:tcPr>
            <w:tcW w:type="dxa" w:w="3120"/>
            <w:shd w:val="clear" w:color="auto" w:fill="1B365D"/>
          </w:tcPr>
          <w:p>
            <w:r>
              <w:rPr>
                <w:b/>
                <w:color w:val="FFFFFF"/>
              </w:rPr>
              <w:t>Real-World Application in Malawi</w:t>
            </w:r>
          </w:p>
        </w:tc>
      </w:tr>
      <w:tr>
        <w:tc>
          <w:tcPr>
            <w:tcW w:type="dxa" w:w="3120"/>
          </w:tcPr>
          <w:p>
            <w:r>
              <w:t>National Ministry Officials</w:t>
            </w:r>
          </w:p>
        </w:tc>
        <w:tc>
          <w:tcPr>
            <w:tcW w:type="dxa" w:w="3120"/>
          </w:tcPr>
          <w:p>
            <w:r>
              <w:t>Cross-Topic Actor Shares (Query 2)</w:t>
            </w:r>
          </w:p>
        </w:tc>
        <w:tc>
          <w:tcPr>
            <w:tcW w:type="dxa" w:w="3120"/>
          </w:tcPr>
          <w:p>
            <w:r>
              <w:t>Harmonising inter-ministerial climate adaptation policies.</w:t>
            </w:r>
          </w:p>
        </w:tc>
      </w:tr>
      <w:tr>
        <w:tc>
          <w:tcPr>
            <w:tcW w:type="dxa" w:w="3120"/>
            <w:shd w:val="clear" w:color="auto" w:fill="F2F4F7"/>
          </w:tcPr>
          <w:p>
            <w:r>
              <w:t>District Councils &amp; Planners</w:t>
            </w:r>
          </w:p>
        </w:tc>
        <w:tc>
          <w:tcPr>
            <w:tcW w:type="dxa" w:w="3120"/>
            <w:shd w:val="clear" w:color="auto" w:fill="F2F4F7"/>
          </w:tcPr>
          <w:p>
            <w:r>
              <w:t>Geographic Entity Filtering (GPE)</w:t>
            </w:r>
          </w:p>
        </w:tc>
        <w:tc>
          <w:tcPr>
            <w:tcW w:type="dxa" w:w="3120"/>
            <w:shd w:val="clear" w:color="auto" w:fill="F2F4F7"/>
          </w:tcPr>
          <w:p>
            <w:r>
              <w:t>Tracking district-level development actor presence and funding.</w:t>
            </w:r>
          </w:p>
        </w:tc>
      </w:tr>
      <w:tr>
        <w:tc>
          <w:tcPr>
            <w:tcW w:type="dxa" w:w="3120"/>
          </w:tcPr>
          <w:p>
            <w:r>
              <w:t>Civil Society &amp; CSOs</w:t>
            </w:r>
          </w:p>
        </w:tc>
        <w:tc>
          <w:tcPr>
            <w:tcW w:type="dxa" w:w="3120"/>
          </w:tcPr>
          <w:p>
            <w:r>
              <w:t>Global Mentions &amp; Network Density</w:t>
            </w:r>
          </w:p>
        </w:tc>
        <w:tc>
          <w:tcPr>
            <w:tcW w:type="dxa" w:w="3120"/>
          </w:tcPr>
          <w:p>
            <w:r>
              <w:t>Holding international donors and statutory bodies accountable.</w:t>
            </w:r>
          </w:p>
        </w:tc>
      </w:tr>
      <w:tr>
        <w:tc>
          <w:tcPr>
            <w:tcW w:type="dxa" w:w="3120"/>
            <w:shd w:val="clear" w:color="auto" w:fill="F2F4F7"/>
          </w:tcPr>
          <w:p>
            <w:r>
              <w:t>Journalists &amp; Communicators</w:t>
            </w:r>
          </w:p>
        </w:tc>
        <w:tc>
          <w:tcPr>
            <w:tcW w:type="dxa" w:w="3120"/>
            <w:shd w:val="clear" w:color="auto" w:fill="F2F4F7"/>
          </w:tcPr>
          <w:p>
            <w:r>
              <w:t>Entity Repetition Ratio (Query 3)</w:t>
            </w:r>
          </w:p>
        </w:tc>
        <w:tc>
          <w:tcPr>
            <w:tcW w:type="dxa" w:w="3120"/>
            <w:shd w:val="clear" w:color="auto" w:fill="F2F4F7"/>
          </w:tcPr>
          <w:p>
            <w:r>
              <w:t>Pinpointing complex policies to translate into community radio programs.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