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62A4" w14:textId="3A84C0F1" w:rsidR="002C5029" w:rsidRDefault="00E208DF" w:rsidP="001E2D85">
      <w:pPr>
        <w:pStyle w:val="Default"/>
        <w:jc w:val="center"/>
        <w:rPr>
          <w:rFonts w:ascii="Calibri" w:hAnsi="Calibri" w:cs="Calibri"/>
          <w:b/>
          <w:bCs/>
          <w:sz w:val="27"/>
          <w:szCs w:val="27"/>
        </w:rPr>
      </w:pPr>
      <w:bookmarkStart w:id="0" w:name="_Hlk134032024"/>
      <w:r w:rsidRPr="00E208DF">
        <w:rPr>
          <w:rFonts w:ascii="Calibri" w:hAnsi="Calibri" w:cs="Calibri"/>
          <w:b/>
          <w:bCs/>
          <w:sz w:val="27"/>
          <w:szCs w:val="27"/>
        </w:rPr>
        <w:t> </w:t>
      </w:r>
      <w:r w:rsidR="001E2D85">
        <w:rPr>
          <w:rFonts w:ascii="Calibri" w:hAnsi="Calibri" w:cs="Calibri"/>
          <w:b/>
          <w:bCs/>
          <w:sz w:val="27"/>
          <w:szCs w:val="27"/>
        </w:rPr>
        <w:t xml:space="preserve">Project Title: </w:t>
      </w:r>
      <w:r w:rsidRPr="00E208DF">
        <w:rPr>
          <w:rFonts w:ascii="Calibri" w:hAnsi="Calibri" w:cs="Calibri"/>
          <w:b/>
          <w:bCs/>
          <w:sz w:val="27"/>
          <w:szCs w:val="27"/>
        </w:rPr>
        <w:t>Foundation Models for Automated Design of Energy Flow Systems</w:t>
      </w:r>
    </w:p>
    <w:p w14:paraId="557DEB48" w14:textId="77777777" w:rsidR="001E2D85" w:rsidRDefault="001E2D85" w:rsidP="001E2D85">
      <w:pPr>
        <w:pStyle w:val="Default"/>
        <w:jc w:val="center"/>
        <w:rPr>
          <w:rFonts w:ascii="Calibri" w:hAnsi="Calibri" w:cs="Calibri"/>
          <w:b/>
          <w:bCs/>
          <w:sz w:val="27"/>
          <w:szCs w:val="27"/>
        </w:rPr>
      </w:pPr>
    </w:p>
    <w:bookmarkEnd w:id="0"/>
    <w:p w14:paraId="34FCBFBC" w14:textId="0208ACD1" w:rsidR="001E2D85" w:rsidRDefault="001E2D85" w:rsidP="001E2D85">
      <w:pPr>
        <w:jc w:val="center"/>
        <w:rPr>
          <w:b/>
          <w:sz w:val="22"/>
          <w:szCs w:val="22"/>
        </w:rPr>
      </w:pPr>
      <w:r>
        <w:rPr>
          <w:b/>
          <w:sz w:val="22"/>
          <w:szCs w:val="22"/>
        </w:rPr>
        <w:t xml:space="preserve">Application Stage: </w:t>
      </w:r>
      <w:r w:rsidRPr="00786FCE">
        <w:rPr>
          <w:bCs/>
          <w:sz w:val="22"/>
          <w:szCs w:val="22"/>
        </w:rPr>
        <w:t>Phase I</w:t>
      </w:r>
    </w:p>
    <w:p w14:paraId="388A92DF" w14:textId="77777777" w:rsidR="001E2D85" w:rsidRDefault="001E2D85" w:rsidP="001E2D85">
      <w:pPr>
        <w:jc w:val="center"/>
        <w:rPr>
          <w:b/>
          <w:sz w:val="22"/>
          <w:szCs w:val="22"/>
        </w:rPr>
      </w:pPr>
    </w:p>
    <w:p w14:paraId="5F602855" w14:textId="20EBC863" w:rsidR="001E4550" w:rsidRDefault="001E4550" w:rsidP="00DF216F">
      <w:pPr>
        <w:jc w:val="both"/>
        <w:rPr>
          <w:sz w:val="22"/>
          <w:szCs w:val="22"/>
        </w:rPr>
      </w:pPr>
      <w:r w:rsidRPr="001E4550">
        <w:rPr>
          <w:b/>
          <w:sz w:val="22"/>
          <w:szCs w:val="22"/>
        </w:rPr>
        <w:t>PI:</w:t>
      </w:r>
      <w:r>
        <w:rPr>
          <w:sz w:val="22"/>
          <w:szCs w:val="22"/>
        </w:rPr>
        <w:t xml:space="preserve"> Misun Min (Argonne National Laboratory); </w:t>
      </w:r>
      <w:r w:rsidRPr="001E4550">
        <w:rPr>
          <w:b/>
          <w:sz w:val="22"/>
          <w:szCs w:val="22"/>
        </w:rPr>
        <w:t>Co-</w:t>
      </w:r>
      <w:r w:rsidR="00D653A3">
        <w:rPr>
          <w:b/>
          <w:sz w:val="22"/>
          <w:szCs w:val="22"/>
        </w:rPr>
        <w:t>PI</w:t>
      </w:r>
      <w:r w:rsidRPr="001E4550">
        <w:rPr>
          <w:b/>
          <w:sz w:val="22"/>
          <w:szCs w:val="22"/>
        </w:rPr>
        <w:t>s:</w:t>
      </w:r>
      <w:r>
        <w:rPr>
          <w:sz w:val="22"/>
          <w:szCs w:val="22"/>
        </w:rPr>
        <w:t xml:space="preserve">  Sven Leyffer (ANL), Dillon Shaver (ANL); </w:t>
      </w:r>
      <w:proofErr w:type="spellStart"/>
      <w:r>
        <w:rPr>
          <w:sz w:val="22"/>
          <w:szCs w:val="22"/>
        </w:rPr>
        <w:t>Tzanio</w:t>
      </w:r>
      <w:proofErr w:type="spellEnd"/>
      <w:r>
        <w:rPr>
          <w:sz w:val="22"/>
          <w:szCs w:val="22"/>
        </w:rPr>
        <w:t xml:space="preserve"> Kolev (Lawrence Livermore National Laboratory); </w:t>
      </w:r>
      <w:r w:rsidR="00F06C2E">
        <w:rPr>
          <w:sz w:val="22"/>
          <w:szCs w:val="22"/>
        </w:rPr>
        <w:t xml:space="preserve">Julian Andrej (LLNL), </w:t>
      </w:r>
      <w:r>
        <w:rPr>
          <w:sz w:val="22"/>
          <w:szCs w:val="22"/>
        </w:rPr>
        <w:t>Ricardo Vinuesa (U</w:t>
      </w:r>
      <w:r w:rsidR="0041591C">
        <w:rPr>
          <w:sz w:val="22"/>
          <w:szCs w:val="22"/>
        </w:rPr>
        <w:t>niversity of</w:t>
      </w:r>
      <w:r>
        <w:rPr>
          <w:sz w:val="22"/>
          <w:szCs w:val="22"/>
        </w:rPr>
        <w:t xml:space="preserve"> Michigan); Paul Fischer (U</w:t>
      </w:r>
      <w:r w:rsidR="0041591C">
        <w:rPr>
          <w:sz w:val="22"/>
          <w:szCs w:val="22"/>
        </w:rPr>
        <w:t>niversity of</w:t>
      </w:r>
      <w:r>
        <w:rPr>
          <w:sz w:val="22"/>
          <w:szCs w:val="22"/>
        </w:rPr>
        <w:t xml:space="preserve"> </w:t>
      </w:r>
      <w:r w:rsidR="0041591C">
        <w:rPr>
          <w:sz w:val="22"/>
          <w:szCs w:val="22"/>
        </w:rPr>
        <w:t>I</w:t>
      </w:r>
      <w:r>
        <w:rPr>
          <w:sz w:val="22"/>
          <w:szCs w:val="22"/>
        </w:rPr>
        <w:t>llinois</w:t>
      </w:r>
      <w:r w:rsidR="0041591C">
        <w:rPr>
          <w:sz w:val="22"/>
          <w:szCs w:val="22"/>
        </w:rPr>
        <w:t xml:space="preserve"> Urbana</w:t>
      </w:r>
      <w:r w:rsidR="00293B48">
        <w:rPr>
          <w:sz w:val="22"/>
          <w:szCs w:val="22"/>
        </w:rPr>
        <w:t>-</w:t>
      </w:r>
      <w:r w:rsidR="0041591C">
        <w:rPr>
          <w:sz w:val="22"/>
          <w:szCs w:val="22"/>
        </w:rPr>
        <w:t>Champaign</w:t>
      </w:r>
      <w:r>
        <w:rPr>
          <w:sz w:val="22"/>
          <w:szCs w:val="22"/>
        </w:rPr>
        <w:t>); Luke Olson (U</w:t>
      </w:r>
      <w:r w:rsidR="0041591C">
        <w:rPr>
          <w:sz w:val="22"/>
          <w:szCs w:val="22"/>
        </w:rPr>
        <w:t>IUC</w:t>
      </w:r>
      <w:r>
        <w:rPr>
          <w:sz w:val="22"/>
          <w:szCs w:val="22"/>
        </w:rPr>
        <w:t>); Elia Merzari (Penn</w:t>
      </w:r>
      <w:r w:rsidR="0041591C">
        <w:rPr>
          <w:sz w:val="22"/>
          <w:szCs w:val="22"/>
        </w:rPr>
        <w:t xml:space="preserve">sylvania </w:t>
      </w:r>
      <w:r>
        <w:rPr>
          <w:sz w:val="22"/>
          <w:szCs w:val="22"/>
        </w:rPr>
        <w:t>State Univ</w:t>
      </w:r>
      <w:r w:rsidR="0041591C">
        <w:rPr>
          <w:sz w:val="22"/>
          <w:szCs w:val="22"/>
        </w:rPr>
        <w:t>ersity)</w:t>
      </w:r>
    </w:p>
    <w:p w14:paraId="43ECA1CF" w14:textId="68084E40" w:rsidR="001E4550" w:rsidRDefault="001E4550" w:rsidP="00DF216F">
      <w:pPr>
        <w:jc w:val="both"/>
        <w:rPr>
          <w:sz w:val="22"/>
          <w:szCs w:val="22"/>
        </w:rPr>
      </w:pPr>
    </w:p>
    <w:p w14:paraId="4B3216D8" w14:textId="304E23E3" w:rsidR="001E4550" w:rsidRDefault="001E4550" w:rsidP="001E4550">
      <w:pPr>
        <w:jc w:val="both"/>
        <w:rPr>
          <w:noProof/>
          <w:sz w:val="22"/>
          <w:szCs w:val="22"/>
        </w:rPr>
      </w:pPr>
      <w:r w:rsidRPr="001E4550">
        <w:rPr>
          <w:noProof/>
          <w:sz w:val="22"/>
          <w:szCs w:val="22"/>
        </w:rPr>
        <w:t>This project develops an AI-driven design and control framework for energy-relevant fluid flow systems using training data from the high-fidelity simulation codes</w:t>
      </w:r>
      <w:r w:rsidR="0026683A">
        <w:rPr>
          <w:noProof/>
          <w:sz w:val="22"/>
          <w:szCs w:val="22"/>
        </w:rPr>
        <w:t xml:space="preserve"> </w:t>
      </w:r>
      <w:r w:rsidRPr="001E4550">
        <w:rPr>
          <w:noProof/>
          <w:sz w:val="22"/>
          <w:szCs w:val="22"/>
        </w:rPr>
        <w:t>Nek500</w:t>
      </w:r>
      <w:r w:rsidR="00A6717C">
        <w:rPr>
          <w:noProof/>
          <w:sz w:val="22"/>
          <w:szCs w:val="22"/>
        </w:rPr>
        <w:t>0</w:t>
      </w:r>
      <w:r w:rsidRPr="001E4550">
        <w:rPr>
          <w:noProof/>
          <w:sz w:val="22"/>
          <w:szCs w:val="22"/>
        </w:rPr>
        <w:t>/RS and MFE</w:t>
      </w:r>
      <w:r>
        <w:rPr>
          <w:noProof/>
          <w:sz w:val="22"/>
          <w:szCs w:val="22"/>
        </w:rPr>
        <w:t>M, developed at ANL and LLNL under the Department of Energy’s Exascale Computing Project.</w:t>
      </w:r>
      <w:r w:rsidRPr="001E4550">
        <w:rPr>
          <w:noProof/>
          <w:sz w:val="22"/>
          <w:szCs w:val="22"/>
        </w:rPr>
        <w:t xml:space="preserve"> Phase I focuses on building foundation models capable of predicting performance and durability metrics under varying operating conditions and geometric parameters. The workflow integrates large-scale simulation datasets with an agentic-AI framework to enable rapid optimization and adaptive control strategies. The Phase I deliverable will demonstrate low-cost real-time prediction for representative energy components (e.g., heat exchangers and reactor-core assemblies), which can </w:t>
      </w:r>
      <w:r w:rsidR="0026683A">
        <w:rPr>
          <w:noProof/>
          <w:sz w:val="22"/>
          <w:szCs w:val="22"/>
        </w:rPr>
        <w:t xml:space="preserve">be </w:t>
      </w:r>
      <w:r w:rsidRPr="001E4550">
        <w:rPr>
          <w:noProof/>
          <w:sz w:val="22"/>
          <w:szCs w:val="22"/>
        </w:rPr>
        <w:t>placed in a design optimization loop.</w:t>
      </w:r>
    </w:p>
    <w:p w14:paraId="6905EE32" w14:textId="238FD114" w:rsidR="002C5029" w:rsidRDefault="002C5029" w:rsidP="001E4550">
      <w:pPr>
        <w:jc w:val="both"/>
        <w:rPr>
          <w:noProof/>
          <w:sz w:val="22"/>
          <w:szCs w:val="22"/>
        </w:rPr>
      </w:pPr>
    </w:p>
    <w:p w14:paraId="4DD9FE2D" w14:textId="77777777" w:rsidR="002C5029" w:rsidRDefault="002C5029" w:rsidP="002C5029">
      <w:pPr>
        <w:jc w:val="both"/>
        <w:rPr>
          <w:sz w:val="22"/>
          <w:szCs w:val="22"/>
        </w:rPr>
      </w:pPr>
      <w:r>
        <w:rPr>
          <w:noProof/>
          <w:sz w:val="22"/>
          <w:szCs w:val="22"/>
        </w:rPr>
        <w:t>Current approaches to reactor-component analysis require thousands of GPU hours per configuration to assess device performance at a single parameter point (for example flow-rate or pressure-drop).  The knowledge gained is generally not transferable to other configurations, so the process must be repeated for each case.   The proposed approach will incorporate simulation data (velocity, pressure, temperature at prescribed spatial grid points) through an autoencoder that compresses the spatially-related data to build a common latent space across all the candidate training sets.   The latent space representation will be used to predict the solution fields (through decoding) when new mesh geometries are fed in through the encoder.  The overall process will be designed to meet fidelity requirements for essential quantities of interest (QOIs) such as thermal gradients and pressure drops.</w:t>
      </w:r>
    </w:p>
    <w:p w14:paraId="5F54A8BB" w14:textId="77777777" w:rsidR="002C5029" w:rsidRPr="001E4550" w:rsidRDefault="002C5029" w:rsidP="001E4550">
      <w:pPr>
        <w:jc w:val="both"/>
        <w:rPr>
          <w:noProof/>
          <w:sz w:val="22"/>
          <w:szCs w:val="22"/>
        </w:rPr>
      </w:pPr>
    </w:p>
    <w:p w14:paraId="756CE208" w14:textId="77777777" w:rsidR="001E4550" w:rsidRDefault="001E4550" w:rsidP="001E4550">
      <w:pPr>
        <w:rPr>
          <w:noProof/>
        </w:rPr>
      </w:pPr>
    </w:p>
    <w:p w14:paraId="03215A63" w14:textId="1F179793" w:rsidR="001E4550" w:rsidRDefault="003F7B60" w:rsidP="001E4550">
      <w:pPr>
        <w:jc w:val="center"/>
      </w:pPr>
      <w:r>
        <w:t xml:space="preserve">      </w:t>
      </w:r>
      <w:r w:rsidR="001D6918">
        <w:rPr>
          <w:noProof/>
        </w:rPr>
        <w:drawing>
          <wp:inline distT="0" distB="0" distL="0" distR="0" wp14:anchorId="71478000" wp14:editId="5D19EDEC">
            <wp:extent cx="5605390" cy="2409838"/>
            <wp:effectExtent l="0" t="0" r="0" b="3175"/>
            <wp:docPr id="13067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0135" name="Picture 13067201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2516" cy="2481688"/>
                    </a:xfrm>
                    <a:prstGeom prst="rect">
                      <a:avLst/>
                    </a:prstGeom>
                  </pic:spPr>
                </pic:pic>
              </a:graphicData>
            </a:graphic>
          </wp:inline>
        </w:drawing>
      </w:r>
    </w:p>
    <w:p w14:paraId="79BFEBF1" w14:textId="77777777" w:rsidR="000E02A4" w:rsidRPr="000B6CB3" w:rsidRDefault="000E02A4" w:rsidP="001E4550">
      <w:pPr>
        <w:jc w:val="center"/>
      </w:pPr>
    </w:p>
    <w:p w14:paraId="2642B314" w14:textId="4B3A9DB2" w:rsidR="001E4550" w:rsidRPr="001D6918" w:rsidRDefault="000E02A4" w:rsidP="00DF216F">
      <w:pPr>
        <w:jc w:val="both"/>
        <w:rPr>
          <w:rFonts w:asciiTheme="majorHAnsi" w:hAnsiTheme="majorHAnsi" w:cstheme="majorHAnsi"/>
          <w:i/>
          <w:noProof/>
          <w:sz w:val="21"/>
          <w:szCs w:val="22"/>
        </w:rPr>
      </w:pPr>
      <w:r>
        <w:rPr>
          <w:rFonts w:asciiTheme="majorHAnsi" w:hAnsiTheme="majorHAnsi" w:cstheme="majorHAnsi"/>
          <w:i/>
          <w:noProof/>
          <w:sz w:val="21"/>
          <w:szCs w:val="22"/>
        </w:rPr>
        <w:t xml:space="preserve">Figure 1. </w:t>
      </w:r>
      <w:r w:rsidR="00356F76" w:rsidRPr="00356F76">
        <w:rPr>
          <w:rFonts w:asciiTheme="majorHAnsi" w:hAnsiTheme="majorHAnsi" w:cstheme="majorHAnsi"/>
          <w:i/>
          <w:noProof/>
          <w:sz w:val="21"/>
          <w:szCs w:val="22"/>
        </w:rPr>
        <w:t>Schematic representation of the proposed method combining a foundation model with agentic AI. A wide</w:t>
      </w:r>
      <w:r w:rsidR="00356F76">
        <w:rPr>
          <w:rFonts w:asciiTheme="majorHAnsi" w:hAnsiTheme="majorHAnsi" w:cstheme="majorHAnsi"/>
          <w:i/>
          <w:noProof/>
          <w:sz w:val="21"/>
          <w:szCs w:val="22"/>
        </w:rPr>
        <w:t xml:space="preserve"> </w:t>
      </w:r>
      <w:r w:rsidR="00356F76" w:rsidRPr="00356F76">
        <w:rPr>
          <w:rFonts w:asciiTheme="majorHAnsi" w:hAnsiTheme="majorHAnsi" w:cstheme="majorHAnsi"/>
          <w:i/>
          <w:noProof/>
          <w:sz w:val="21"/>
          <w:szCs w:val="22"/>
        </w:rPr>
        <w:t>range of high-quality fluid-flow datasets are used to train a foundation model, which encodes all the cases into a</w:t>
      </w:r>
      <w:r w:rsidR="00356F76">
        <w:rPr>
          <w:rFonts w:asciiTheme="majorHAnsi" w:hAnsiTheme="majorHAnsi" w:cstheme="majorHAnsi"/>
          <w:i/>
          <w:noProof/>
          <w:sz w:val="21"/>
          <w:szCs w:val="22"/>
        </w:rPr>
        <w:t xml:space="preserve"> </w:t>
      </w:r>
      <w:r w:rsidR="00356F76" w:rsidRPr="00356F76">
        <w:rPr>
          <w:rFonts w:asciiTheme="majorHAnsi" w:hAnsiTheme="majorHAnsi" w:cstheme="majorHAnsi"/>
          <w:i/>
          <w:noProof/>
          <w:sz w:val="21"/>
          <w:szCs w:val="22"/>
        </w:rPr>
        <w:t>common latent space. Conditional latent diffusion is used to learn the distribution across cases in the latent space.</w:t>
      </w:r>
      <w:r w:rsidR="00356F76">
        <w:rPr>
          <w:rFonts w:asciiTheme="majorHAnsi" w:hAnsiTheme="majorHAnsi" w:cstheme="majorHAnsi"/>
          <w:i/>
          <w:noProof/>
          <w:sz w:val="21"/>
          <w:szCs w:val="22"/>
        </w:rPr>
        <w:t xml:space="preserve"> </w:t>
      </w:r>
      <w:r w:rsidR="00356F76" w:rsidRPr="00356F76">
        <w:rPr>
          <w:rFonts w:asciiTheme="majorHAnsi" w:hAnsiTheme="majorHAnsi" w:cstheme="majorHAnsi"/>
          <w:i/>
          <w:noProof/>
          <w:sz w:val="21"/>
          <w:szCs w:val="22"/>
        </w:rPr>
        <w:t>Spatio-temporal data for a new geometry can be quickly produced in the latent space, and decoded back to the physical</w:t>
      </w:r>
      <w:r w:rsidR="00356F76">
        <w:rPr>
          <w:rFonts w:asciiTheme="majorHAnsi" w:hAnsiTheme="majorHAnsi" w:cstheme="majorHAnsi"/>
          <w:i/>
          <w:noProof/>
          <w:sz w:val="21"/>
          <w:szCs w:val="22"/>
        </w:rPr>
        <w:t xml:space="preserve"> </w:t>
      </w:r>
      <w:r w:rsidR="00356F76" w:rsidRPr="00356F76">
        <w:rPr>
          <w:rFonts w:asciiTheme="majorHAnsi" w:hAnsiTheme="majorHAnsi" w:cstheme="majorHAnsi"/>
          <w:i/>
          <w:noProof/>
          <w:sz w:val="21"/>
          <w:szCs w:val="22"/>
        </w:rPr>
        <w:t>space. The agentic AI framework has access to this foundation model and the various optimizers, orchestrating the</w:t>
      </w:r>
      <w:r w:rsidR="00356F76">
        <w:rPr>
          <w:rFonts w:asciiTheme="majorHAnsi" w:hAnsiTheme="majorHAnsi" w:cstheme="majorHAnsi"/>
          <w:i/>
          <w:noProof/>
          <w:sz w:val="21"/>
          <w:szCs w:val="22"/>
        </w:rPr>
        <w:t xml:space="preserve"> </w:t>
      </w:r>
      <w:r w:rsidR="00356F76" w:rsidRPr="00356F76">
        <w:rPr>
          <w:rFonts w:asciiTheme="majorHAnsi" w:hAnsiTheme="majorHAnsi" w:cstheme="majorHAnsi"/>
          <w:i/>
          <w:noProof/>
          <w:sz w:val="21"/>
          <w:szCs w:val="22"/>
        </w:rPr>
        <w:t>optimization/design process, which is significantly accelerated.</w:t>
      </w:r>
    </w:p>
    <w:sectPr w:rsidR="001E4550" w:rsidRPr="001D6918" w:rsidSect="005C0CC9">
      <w:pgSz w:w="12240" w:h="15840"/>
      <w:pgMar w:top="1080" w:right="1440" w:bottom="108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B2CB" w14:textId="77777777" w:rsidR="002377CB" w:rsidRDefault="002377CB" w:rsidP="000830EA">
      <w:r>
        <w:separator/>
      </w:r>
    </w:p>
  </w:endnote>
  <w:endnote w:type="continuationSeparator" w:id="0">
    <w:p w14:paraId="3A4C3C22" w14:textId="77777777" w:rsidR="002377CB" w:rsidRDefault="002377CB" w:rsidP="00083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Unifont">
    <w:panose1 w:val="020B0604020202020204"/>
    <w:charset w:val="00"/>
    <w:family w:val="roman"/>
    <w:notTrueType/>
    <w:pitch w:val="default"/>
  </w:font>
  <w:font w:name="FreeSans">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7FFE8" w14:textId="77777777" w:rsidR="002377CB" w:rsidRDefault="002377CB" w:rsidP="000830EA">
      <w:r>
        <w:separator/>
      </w:r>
    </w:p>
  </w:footnote>
  <w:footnote w:type="continuationSeparator" w:id="0">
    <w:p w14:paraId="0FCC6F35" w14:textId="77777777" w:rsidR="002377CB" w:rsidRDefault="002377CB" w:rsidP="00083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4D21"/>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F1E2220"/>
    <w:multiLevelType w:val="multilevel"/>
    <w:tmpl w:val="C9925A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A819C0"/>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7500C64"/>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0054210">
    <w:abstractNumId w:val="0"/>
  </w:num>
  <w:num w:numId="2" w16cid:durableId="1592199351">
    <w:abstractNumId w:val="1"/>
  </w:num>
  <w:num w:numId="3" w16cid:durableId="1687903032">
    <w:abstractNumId w:val="3"/>
  </w:num>
  <w:num w:numId="4" w16cid:durableId="111143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0FA"/>
    <w:rsid w:val="00015C82"/>
    <w:rsid w:val="00041562"/>
    <w:rsid w:val="000470FA"/>
    <w:rsid w:val="00081101"/>
    <w:rsid w:val="000830EA"/>
    <w:rsid w:val="000902C4"/>
    <w:rsid w:val="000A0BD9"/>
    <w:rsid w:val="000A42EE"/>
    <w:rsid w:val="000A4547"/>
    <w:rsid w:val="000B3AC0"/>
    <w:rsid w:val="000B4278"/>
    <w:rsid w:val="000E02A4"/>
    <w:rsid w:val="00115ED6"/>
    <w:rsid w:val="001372F2"/>
    <w:rsid w:val="00152BEC"/>
    <w:rsid w:val="001603E7"/>
    <w:rsid w:val="001D40F9"/>
    <w:rsid w:val="001D4586"/>
    <w:rsid w:val="001D6918"/>
    <w:rsid w:val="001E0A24"/>
    <w:rsid w:val="001E2D85"/>
    <w:rsid w:val="001E4550"/>
    <w:rsid w:val="001F7FF6"/>
    <w:rsid w:val="00217CF9"/>
    <w:rsid w:val="002267B6"/>
    <w:rsid w:val="002377CB"/>
    <w:rsid w:val="002625FA"/>
    <w:rsid w:val="0026683A"/>
    <w:rsid w:val="00293B48"/>
    <w:rsid w:val="002A1F1A"/>
    <w:rsid w:val="002B1A06"/>
    <w:rsid w:val="002C5029"/>
    <w:rsid w:val="002F44B2"/>
    <w:rsid w:val="00320A4D"/>
    <w:rsid w:val="00332B7C"/>
    <w:rsid w:val="00343200"/>
    <w:rsid w:val="003544F4"/>
    <w:rsid w:val="003568E6"/>
    <w:rsid w:val="00356F76"/>
    <w:rsid w:val="003914EC"/>
    <w:rsid w:val="00394706"/>
    <w:rsid w:val="0039579D"/>
    <w:rsid w:val="003A0759"/>
    <w:rsid w:val="003C6554"/>
    <w:rsid w:val="003D027B"/>
    <w:rsid w:val="003F7B60"/>
    <w:rsid w:val="0041591C"/>
    <w:rsid w:val="00435663"/>
    <w:rsid w:val="00437E81"/>
    <w:rsid w:val="00451F18"/>
    <w:rsid w:val="00474B9D"/>
    <w:rsid w:val="004907CF"/>
    <w:rsid w:val="00495CB3"/>
    <w:rsid w:val="004A3773"/>
    <w:rsid w:val="004C6D2C"/>
    <w:rsid w:val="00522F7B"/>
    <w:rsid w:val="00534708"/>
    <w:rsid w:val="0056456C"/>
    <w:rsid w:val="00586571"/>
    <w:rsid w:val="005A1856"/>
    <w:rsid w:val="005C0CC9"/>
    <w:rsid w:val="005C4BAC"/>
    <w:rsid w:val="005D1427"/>
    <w:rsid w:val="005D618B"/>
    <w:rsid w:val="005E637A"/>
    <w:rsid w:val="005E6489"/>
    <w:rsid w:val="005F4EA7"/>
    <w:rsid w:val="005F5FEC"/>
    <w:rsid w:val="006268BF"/>
    <w:rsid w:val="00630632"/>
    <w:rsid w:val="006313C8"/>
    <w:rsid w:val="00632D00"/>
    <w:rsid w:val="00642410"/>
    <w:rsid w:val="00695770"/>
    <w:rsid w:val="006957EC"/>
    <w:rsid w:val="006A5DAF"/>
    <w:rsid w:val="006B4779"/>
    <w:rsid w:val="006C0480"/>
    <w:rsid w:val="006D7F9C"/>
    <w:rsid w:val="006F332D"/>
    <w:rsid w:val="006F33AA"/>
    <w:rsid w:val="00713FD5"/>
    <w:rsid w:val="00715BA5"/>
    <w:rsid w:val="00737F2E"/>
    <w:rsid w:val="0078066A"/>
    <w:rsid w:val="00786FCE"/>
    <w:rsid w:val="007C3A3F"/>
    <w:rsid w:val="007D10FB"/>
    <w:rsid w:val="007D3B03"/>
    <w:rsid w:val="0080419D"/>
    <w:rsid w:val="008062BD"/>
    <w:rsid w:val="00826301"/>
    <w:rsid w:val="00832479"/>
    <w:rsid w:val="00832516"/>
    <w:rsid w:val="0085147D"/>
    <w:rsid w:val="00883640"/>
    <w:rsid w:val="0089420C"/>
    <w:rsid w:val="008B4332"/>
    <w:rsid w:val="008C3C32"/>
    <w:rsid w:val="00907EEB"/>
    <w:rsid w:val="0091568C"/>
    <w:rsid w:val="009201A0"/>
    <w:rsid w:val="0092273D"/>
    <w:rsid w:val="009237A3"/>
    <w:rsid w:val="00943A3F"/>
    <w:rsid w:val="009502DA"/>
    <w:rsid w:val="00954145"/>
    <w:rsid w:val="00983FA6"/>
    <w:rsid w:val="00985A3D"/>
    <w:rsid w:val="009A597C"/>
    <w:rsid w:val="009C18DD"/>
    <w:rsid w:val="009C376A"/>
    <w:rsid w:val="009F5756"/>
    <w:rsid w:val="00A11B34"/>
    <w:rsid w:val="00A166A7"/>
    <w:rsid w:val="00A216F3"/>
    <w:rsid w:val="00A251A7"/>
    <w:rsid w:val="00A6717C"/>
    <w:rsid w:val="00A85CF4"/>
    <w:rsid w:val="00AC15D2"/>
    <w:rsid w:val="00AC4F7A"/>
    <w:rsid w:val="00AE6A41"/>
    <w:rsid w:val="00B0172E"/>
    <w:rsid w:val="00B017A7"/>
    <w:rsid w:val="00B07A5D"/>
    <w:rsid w:val="00B108EB"/>
    <w:rsid w:val="00B20D20"/>
    <w:rsid w:val="00B65DAD"/>
    <w:rsid w:val="00B74B94"/>
    <w:rsid w:val="00B84329"/>
    <w:rsid w:val="00B92A79"/>
    <w:rsid w:val="00BA7C63"/>
    <w:rsid w:val="00BB1C39"/>
    <w:rsid w:val="00BD7CF4"/>
    <w:rsid w:val="00C018D4"/>
    <w:rsid w:val="00C80D32"/>
    <w:rsid w:val="00C966B3"/>
    <w:rsid w:val="00CA5ECC"/>
    <w:rsid w:val="00CC6829"/>
    <w:rsid w:val="00D06EA7"/>
    <w:rsid w:val="00D37FDF"/>
    <w:rsid w:val="00D653A3"/>
    <w:rsid w:val="00D66180"/>
    <w:rsid w:val="00D85D87"/>
    <w:rsid w:val="00DA01DA"/>
    <w:rsid w:val="00DA1802"/>
    <w:rsid w:val="00DA1D33"/>
    <w:rsid w:val="00DD12C5"/>
    <w:rsid w:val="00DF216F"/>
    <w:rsid w:val="00E06AFF"/>
    <w:rsid w:val="00E208DF"/>
    <w:rsid w:val="00E57669"/>
    <w:rsid w:val="00EB70CC"/>
    <w:rsid w:val="00F01DE7"/>
    <w:rsid w:val="00F06C2E"/>
    <w:rsid w:val="00F076C6"/>
    <w:rsid w:val="00F14ED9"/>
    <w:rsid w:val="00F415B6"/>
    <w:rsid w:val="00F856DD"/>
    <w:rsid w:val="00FA0427"/>
    <w:rsid w:val="00FB5FFF"/>
    <w:rsid w:val="19C65FAB"/>
    <w:rsid w:val="1F01511F"/>
    <w:rsid w:val="2466527C"/>
    <w:rsid w:val="2DBE7B2E"/>
    <w:rsid w:val="2FB00280"/>
    <w:rsid w:val="2FB5B5F4"/>
    <w:rsid w:val="3589C2BA"/>
    <w:rsid w:val="3604A057"/>
    <w:rsid w:val="384C146F"/>
    <w:rsid w:val="39781D06"/>
    <w:rsid w:val="3D5A7E1E"/>
    <w:rsid w:val="4717996E"/>
    <w:rsid w:val="484E6E29"/>
    <w:rsid w:val="4D41C759"/>
    <w:rsid w:val="535C7350"/>
    <w:rsid w:val="59072EF7"/>
    <w:rsid w:val="6466ABB1"/>
    <w:rsid w:val="65AE9042"/>
    <w:rsid w:val="670D34CF"/>
    <w:rsid w:val="6A368F53"/>
    <w:rsid w:val="6AF7F284"/>
    <w:rsid w:val="6C1246E5"/>
    <w:rsid w:val="7592770B"/>
    <w:rsid w:val="779ADD0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3865"/>
  <w15:docId w15:val="{4B877B5F-97F7-4790-8861-A37E31C4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C65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1sno">
    <w:name w:val="_21sno"/>
    <w:basedOn w:val="DefaultParagraphFont"/>
    <w:qFormat/>
    <w:rsid w:val="00D5217D"/>
  </w:style>
  <w:style w:type="character" w:customStyle="1" w:styleId="rvpkg">
    <w:name w:val="rvpkg"/>
    <w:basedOn w:val="DefaultParagraphFont"/>
    <w:qFormat/>
    <w:rsid w:val="002421EE"/>
  </w:style>
  <w:style w:type="paragraph" w:customStyle="1" w:styleId="Heading">
    <w:name w:val="Heading"/>
    <w:basedOn w:val="Normal"/>
    <w:next w:val="BodyText"/>
    <w:qFormat/>
    <w:pPr>
      <w:keepNext/>
      <w:spacing w:before="240" w:after="120"/>
    </w:pPr>
    <w:rPr>
      <w:rFonts w:ascii="Liberation Sans" w:eastAsia="Unifont"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067087"/>
    <w:pPr>
      <w:ind w:left="720"/>
      <w:contextualSpacing/>
    </w:pPr>
  </w:style>
  <w:style w:type="paragraph" w:customStyle="1" w:styleId="Default">
    <w:name w:val="Default"/>
    <w:qFormat/>
    <w:rsid w:val="00CF54C9"/>
    <w:pPr>
      <w:suppressAutoHyphens w:val="0"/>
    </w:pPr>
    <w:rPr>
      <w:rFonts w:ascii="Times New Roman" w:eastAsia="Calibri" w:hAnsi="Times New Roman" w:cs="Times New Roman"/>
      <w:color w:val="000000"/>
    </w:rPr>
  </w:style>
  <w:style w:type="character" w:customStyle="1" w:styleId="markalkgji796">
    <w:name w:val="markalkgji796"/>
    <w:basedOn w:val="DefaultParagraphFont"/>
    <w:rsid w:val="003D027B"/>
  </w:style>
  <w:style w:type="paragraph" w:styleId="Header">
    <w:name w:val="header"/>
    <w:basedOn w:val="Normal"/>
    <w:link w:val="HeaderChar"/>
    <w:uiPriority w:val="99"/>
    <w:unhideWhenUsed/>
    <w:rsid w:val="000830EA"/>
    <w:pPr>
      <w:tabs>
        <w:tab w:val="center" w:pos="4680"/>
        <w:tab w:val="right" w:pos="9360"/>
      </w:tabs>
    </w:pPr>
  </w:style>
  <w:style w:type="character" w:customStyle="1" w:styleId="HeaderChar">
    <w:name w:val="Header Char"/>
    <w:basedOn w:val="DefaultParagraphFont"/>
    <w:link w:val="Header"/>
    <w:uiPriority w:val="99"/>
    <w:rsid w:val="000830EA"/>
  </w:style>
  <w:style w:type="paragraph" w:styleId="Footer">
    <w:name w:val="footer"/>
    <w:basedOn w:val="Normal"/>
    <w:link w:val="FooterChar"/>
    <w:uiPriority w:val="99"/>
    <w:unhideWhenUsed/>
    <w:rsid w:val="000830EA"/>
    <w:pPr>
      <w:tabs>
        <w:tab w:val="center" w:pos="4680"/>
        <w:tab w:val="right" w:pos="9360"/>
      </w:tabs>
    </w:pPr>
  </w:style>
  <w:style w:type="character" w:customStyle="1" w:styleId="FooterChar">
    <w:name w:val="Footer Char"/>
    <w:basedOn w:val="DefaultParagraphFont"/>
    <w:link w:val="Footer"/>
    <w:uiPriority w:val="99"/>
    <w:rsid w:val="000830EA"/>
  </w:style>
  <w:style w:type="table" w:styleId="TableGrid">
    <w:name w:val="Table Grid"/>
    <w:basedOn w:val="TableNormal"/>
    <w:uiPriority w:val="39"/>
    <w:rsid w:val="003C6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56F76"/>
    <w:pPr>
      <w:suppressAutoHyphens w:val="0"/>
    </w:pPr>
    <w:rPr>
      <w:rFonts w:ascii="Helvetica" w:eastAsia="Times New Roman" w:hAnsi="Helvetica" w:cs="Times New Roman"/>
      <w:color w:val="000000"/>
      <w:sz w:val="15"/>
      <w:szCs w:val="15"/>
    </w:rPr>
  </w:style>
  <w:style w:type="character" w:customStyle="1" w:styleId="apple-converted-space">
    <w:name w:val="apple-converted-space"/>
    <w:basedOn w:val="DefaultParagraphFont"/>
    <w:rsid w:val="0035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25125">
      <w:bodyDiv w:val="1"/>
      <w:marLeft w:val="0"/>
      <w:marRight w:val="0"/>
      <w:marTop w:val="0"/>
      <w:marBottom w:val="0"/>
      <w:divBdr>
        <w:top w:val="none" w:sz="0" w:space="0" w:color="auto"/>
        <w:left w:val="none" w:sz="0" w:space="0" w:color="auto"/>
        <w:bottom w:val="none" w:sz="0" w:space="0" w:color="auto"/>
        <w:right w:val="none" w:sz="0" w:space="0" w:color="auto"/>
      </w:divBdr>
    </w:div>
    <w:div w:id="1927495750">
      <w:bodyDiv w:val="1"/>
      <w:marLeft w:val="0"/>
      <w:marRight w:val="0"/>
      <w:marTop w:val="0"/>
      <w:marBottom w:val="0"/>
      <w:divBdr>
        <w:top w:val="none" w:sz="0" w:space="0" w:color="auto"/>
        <w:left w:val="none" w:sz="0" w:space="0" w:color="auto"/>
        <w:bottom w:val="none" w:sz="0" w:space="0" w:color="auto"/>
        <w:right w:val="none" w:sz="0" w:space="0" w:color="auto"/>
      </w:divBdr>
    </w:div>
    <w:div w:id="1931427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Argonne National Laboratory</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Carolyn Aileen</dc:creator>
  <dc:description/>
  <cp:lastModifiedBy>Min, Misun</cp:lastModifiedBy>
  <cp:revision>9</cp:revision>
  <cp:lastPrinted>2026-04-23T19:10:00Z</cp:lastPrinted>
  <dcterms:created xsi:type="dcterms:W3CDTF">2026-04-23T19:10:00Z</dcterms:created>
  <dcterms:modified xsi:type="dcterms:W3CDTF">2026-04-23T20:49:00Z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