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E1A82" w14:textId="77777777" w:rsidR="00EC30F9" w:rsidRPr="00685153" w:rsidRDefault="00EC30F9" w:rsidP="00EC30F9">
      <w:pPr>
        <w:rPr>
          <w:rFonts w:ascii="Times New Roman" w:hAnsi="Times New Roman"/>
        </w:rPr>
      </w:pPr>
      <w:r w:rsidRPr="00685153">
        <w:rPr>
          <w:rFonts w:ascii="Times New Roman" w:hAnsi="Times New Roman"/>
        </w:rPr>
        <w:t xml:space="preserve">Argonne National Laboratory has access to three main facilities for computing </w:t>
      </w:r>
    </w:p>
    <w:p w14:paraId="52ABB83B" w14:textId="77777777" w:rsidR="00EC30F9" w:rsidRPr="00685153" w:rsidRDefault="00EC30F9" w:rsidP="00EC30F9">
      <w:pPr>
        <w:rPr>
          <w:rFonts w:ascii="Times New Roman" w:hAnsi="Times New Roman"/>
        </w:rPr>
      </w:pPr>
      <w:r w:rsidRPr="00685153">
        <w:rPr>
          <w:rFonts w:ascii="Times New Roman" w:hAnsi="Times New Roman"/>
        </w:rPr>
        <w:t>resources; data and networking; and data analytics and visualization.</w:t>
      </w:r>
    </w:p>
    <w:p w14:paraId="20C78275" w14:textId="77777777" w:rsidR="00EC30F9" w:rsidRPr="00685153" w:rsidRDefault="00EC30F9" w:rsidP="00EC30F9">
      <w:pPr>
        <w:rPr>
          <w:rFonts w:ascii="Times New Roman" w:hAnsi="Times New Roman"/>
        </w:rPr>
      </w:pPr>
    </w:p>
    <w:p w14:paraId="790A5EC8" w14:textId="66F82567" w:rsidR="00EC30F9" w:rsidRPr="00685153" w:rsidRDefault="00EC30F9" w:rsidP="00EC30F9">
      <w:pPr>
        <w:rPr>
          <w:rFonts w:ascii="Times New Roman" w:hAnsi="Times New Roman"/>
          <w:b/>
          <w:bCs/>
        </w:rPr>
      </w:pPr>
      <w:r w:rsidRPr="00685153">
        <w:rPr>
          <w:rFonts w:ascii="Times New Roman" w:hAnsi="Times New Roman"/>
          <w:b/>
          <w:bCs/>
        </w:rPr>
        <w:t>JLSE</w:t>
      </w:r>
    </w:p>
    <w:p w14:paraId="1DE31785" w14:textId="22362022" w:rsidR="00EC30F9" w:rsidRPr="00685153" w:rsidRDefault="00EC30F9" w:rsidP="00EC30F9">
      <w:pPr>
        <w:rPr>
          <w:rFonts w:ascii="Times New Roman" w:hAnsi="Times New Roman"/>
        </w:rPr>
      </w:pPr>
      <w:r w:rsidRPr="00685153">
        <w:rPr>
          <w:rFonts w:ascii="Times New Roman" w:hAnsi="Times New Roman"/>
        </w:rPr>
        <w:t xml:space="preserve">The Joint Laboratory for System Evaluation (JLSE) is a collaboration between the Mathematics and Computer Science (MCS) Division and the Argonne Leadership Computing Facility (ALCF) with the aim of evaluating future high-performance computing platforms, developing system </w:t>
      </w:r>
      <w:r w:rsidR="003509FC" w:rsidRPr="00685153">
        <w:rPr>
          <w:rFonts w:ascii="Times New Roman" w:hAnsi="Times New Roman"/>
        </w:rPr>
        <w:t>software,</w:t>
      </w:r>
      <w:r w:rsidRPr="00685153">
        <w:rPr>
          <w:rFonts w:ascii="Times New Roman" w:hAnsi="Times New Roman"/>
        </w:rPr>
        <w:t xml:space="preserve"> and measuring power/energy. JLSE hosts more than two dozen different cutting-edge hardware platforms, including Intel development GPU cards (code names XeHP and DG1), as well as NVIDIA A100 and RTX8000 cards. The post-Moore architecture lab in MCS, which is part of JLSE, hosts an FPGA testbed.</w:t>
      </w:r>
    </w:p>
    <w:p w14:paraId="2C09FC58" w14:textId="77777777" w:rsidR="00EC30F9" w:rsidRPr="00685153" w:rsidRDefault="00EC30F9" w:rsidP="00EC30F9">
      <w:pPr>
        <w:rPr>
          <w:rFonts w:ascii="Times New Roman" w:hAnsi="Times New Roman"/>
        </w:rPr>
      </w:pPr>
    </w:p>
    <w:p w14:paraId="16228A32" w14:textId="64510AB7" w:rsidR="00EC30F9" w:rsidRPr="00685153" w:rsidRDefault="00EC30F9" w:rsidP="00EC30F9">
      <w:pPr>
        <w:rPr>
          <w:rFonts w:ascii="Times New Roman" w:hAnsi="Times New Roman"/>
          <w:b/>
          <w:bCs/>
        </w:rPr>
      </w:pPr>
      <w:r w:rsidRPr="00685153">
        <w:rPr>
          <w:rFonts w:ascii="Times New Roman" w:hAnsi="Times New Roman"/>
          <w:b/>
          <w:bCs/>
        </w:rPr>
        <w:t>ALCF</w:t>
      </w:r>
    </w:p>
    <w:p w14:paraId="461C6BEB" w14:textId="77777777" w:rsidR="00EC30F9" w:rsidRPr="00685153" w:rsidRDefault="00EC30F9" w:rsidP="00EC30F9">
      <w:pPr>
        <w:rPr>
          <w:rFonts w:ascii="Times New Roman" w:hAnsi="Times New Roman"/>
        </w:rPr>
      </w:pPr>
      <w:r w:rsidRPr="00685153">
        <w:rPr>
          <w:rFonts w:ascii="Times New Roman" w:hAnsi="Times New Roman"/>
        </w:rPr>
        <w:t>ALCF resources include leadership-class supercomputers, visualization clusters, advanced data storage systems, high-performance networking capabilities, and a wide variety of software tools and services to help facility users achieve their science goals.</w:t>
      </w:r>
    </w:p>
    <w:p w14:paraId="4B64E259" w14:textId="77777777" w:rsidR="00EC30F9" w:rsidRPr="00685153" w:rsidRDefault="00EC30F9" w:rsidP="00EC30F9">
      <w:pPr>
        <w:rPr>
          <w:rFonts w:ascii="Times New Roman" w:hAnsi="Times New Roman"/>
        </w:rPr>
      </w:pPr>
    </w:p>
    <w:p w14:paraId="7E25F28C" w14:textId="62DEDC01" w:rsidR="00F055FD" w:rsidRPr="00685153" w:rsidRDefault="00EC30F9" w:rsidP="00F055FD">
      <w:pPr>
        <w:rPr>
          <w:rFonts w:ascii="Times New Roman" w:eastAsia="Times New Roman" w:hAnsi="Times New Roman" w:cs="Times New Roman"/>
        </w:rPr>
      </w:pPr>
      <w:r w:rsidRPr="00685153">
        <w:rPr>
          <w:rFonts w:ascii="Times New Roman" w:hAnsi="Times New Roman"/>
        </w:rPr>
        <w:t>Theta, an 11.</w:t>
      </w:r>
      <w:r w:rsidR="00FF62D4" w:rsidRPr="00685153">
        <w:rPr>
          <w:rFonts w:ascii="Times New Roman" w:hAnsi="Times New Roman"/>
        </w:rPr>
        <w:t>7</w:t>
      </w:r>
      <w:r w:rsidRPr="00685153">
        <w:rPr>
          <w:rFonts w:ascii="Times New Roman" w:hAnsi="Times New Roman"/>
        </w:rPr>
        <w:t xml:space="preserve">-petaflops supercomputer based on Intel processors and interconnect technology, an advanced memory architecture, and a Lustre-based parallel file system, are integrated by Cray’s HPC software stack. </w:t>
      </w:r>
      <w:r w:rsidR="00F055FD" w:rsidRPr="00685153">
        <w:rPr>
          <w:rFonts w:ascii="Times New Roman" w:eastAsia="Times New Roman" w:hAnsi="Times New Roman" w:cs="Times New Roman"/>
        </w:rPr>
        <w:t>ThetaGPU is an NVIDIA DGX A100-based system. provid</w:t>
      </w:r>
      <w:r w:rsidR="00F055FD" w:rsidRPr="00685153">
        <w:rPr>
          <w:rFonts w:ascii="Times New Roman" w:eastAsia="Times New Roman" w:hAnsi="Times New Roman" w:cs="Times New Roman"/>
        </w:rPr>
        <w:t>ing</w:t>
      </w:r>
      <w:r w:rsidR="00F055FD" w:rsidRPr="00685153">
        <w:rPr>
          <w:rFonts w:ascii="Times New Roman" w:eastAsia="Times New Roman" w:hAnsi="Times New Roman" w:cs="Times New Roman"/>
        </w:rPr>
        <w:t xml:space="preserve"> a total of 320 gigabytes of memory for training AI datasets, as well as high-speed NVIDIA Mellanox ConnectX-6 network interfaces.</w:t>
      </w:r>
    </w:p>
    <w:p w14:paraId="22D47F80" w14:textId="10D6D242" w:rsidR="00EC30F9" w:rsidRPr="00685153" w:rsidRDefault="00EC30F9" w:rsidP="00EC30F9">
      <w:pPr>
        <w:rPr>
          <w:rFonts w:ascii="Times New Roman" w:hAnsi="Times New Roman"/>
        </w:rPr>
      </w:pPr>
    </w:p>
    <w:p w14:paraId="4D2C2724" w14:textId="5C15BD8F" w:rsidR="00EC30F9" w:rsidRPr="00685153" w:rsidRDefault="00EC30F9" w:rsidP="00EC30F9">
      <w:pPr>
        <w:rPr>
          <w:rFonts w:ascii="Times New Roman" w:hAnsi="Times New Roman"/>
        </w:rPr>
      </w:pPr>
      <w:r w:rsidRPr="00685153">
        <w:rPr>
          <w:rFonts w:ascii="Times New Roman" w:hAnsi="Times New Roman"/>
        </w:rPr>
        <w:t xml:space="preserve">Cooley, the ALCF’s visualization cluster, enables users to analyze and visualize large-scale datasets. Equipped with state-of-the-art </w:t>
      </w:r>
      <w:r w:rsidR="00685153">
        <w:rPr>
          <w:rFonts w:ascii="Times New Roman" w:hAnsi="Times New Roman"/>
        </w:rPr>
        <w:t>GPUs.</w:t>
      </w:r>
      <w:r w:rsidRPr="00685153">
        <w:rPr>
          <w:rFonts w:ascii="Times New Roman" w:hAnsi="Times New Roman"/>
        </w:rPr>
        <w:t xml:space="preserve"> </w:t>
      </w:r>
      <w:proofErr w:type="gramStart"/>
      <w:r w:rsidRPr="00685153">
        <w:rPr>
          <w:rFonts w:ascii="Times New Roman" w:hAnsi="Times New Roman"/>
        </w:rPr>
        <w:t>Cooley</w:t>
      </w:r>
      <w:proofErr w:type="gramEnd"/>
      <w:r w:rsidRPr="00685153">
        <w:rPr>
          <w:rFonts w:ascii="Times New Roman" w:hAnsi="Times New Roman"/>
        </w:rPr>
        <w:t xml:space="preserve"> helps users gain deeper insights into simulations and data generated on the facility’s supercomputers. </w:t>
      </w:r>
    </w:p>
    <w:p w14:paraId="31E68185" w14:textId="77777777" w:rsidR="00EC30F9" w:rsidRPr="00685153" w:rsidRDefault="00EC30F9" w:rsidP="00EC30F9">
      <w:pPr>
        <w:rPr>
          <w:rFonts w:ascii="Times New Roman" w:hAnsi="Times New Roman"/>
        </w:rPr>
      </w:pPr>
    </w:p>
    <w:p w14:paraId="7303A54D" w14:textId="1B90EBDA" w:rsidR="00EC30F9" w:rsidRPr="00685153" w:rsidRDefault="00EC30F9" w:rsidP="00EC30F9">
      <w:pPr>
        <w:rPr>
          <w:rFonts w:ascii="Times New Roman" w:hAnsi="Times New Roman"/>
        </w:rPr>
      </w:pPr>
      <w:r w:rsidRPr="00685153">
        <w:rPr>
          <w:rFonts w:ascii="Times New Roman" w:hAnsi="Times New Roman"/>
        </w:rPr>
        <w:t>The Argonne AI</w:t>
      </w:r>
      <w:r w:rsidR="00FF62D4" w:rsidRPr="00685153">
        <w:rPr>
          <w:rFonts w:ascii="Times New Roman" w:hAnsi="Times New Roman"/>
        </w:rPr>
        <w:t xml:space="preserve"> </w:t>
      </w:r>
      <w:r w:rsidRPr="00685153">
        <w:rPr>
          <w:rFonts w:ascii="Times New Roman" w:hAnsi="Times New Roman"/>
        </w:rPr>
        <w:t xml:space="preserve">Testbed provides an infrastructure of next-generation AI-accelerator machines. It aims to help evaluate usability and performance of machine learning based high-performance computing applications running on these accelerators. Currently, </w:t>
      </w:r>
      <w:r w:rsidR="00FF62D4" w:rsidRPr="00685153">
        <w:rPr>
          <w:rFonts w:ascii="Times New Roman" w:hAnsi="Times New Roman"/>
        </w:rPr>
        <w:t>allocations are being offered on</w:t>
      </w:r>
      <w:r w:rsidRPr="00685153">
        <w:rPr>
          <w:rFonts w:ascii="Times New Roman" w:hAnsi="Times New Roman"/>
        </w:rPr>
        <w:t xml:space="preserve"> Cerebras</w:t>
      </w:r>
      <w:r w:rsidR="00FF62D4" w:rsidRPr="00685153">
        <w:rPr>
          <w:rFonts w:ascii="Times New Roman" w:hAnsi="Times New Roman"/>
        </w:rPr>
        <w:t xml:space="preserve"> and</w:t>
      </w:r>
      <w:r w:rsidRPr="00685153">
        <w:rPr>
          <w:rFonts w:ascii="Times New Roman" w:hAnsi="Times New Roman"/>
        </w:rPr>
        <w:t xml:space="preserve"> SambaNova</w:t>
      </w:r>
      <w:r w:rsidR="00FF62D4" w:rsidRPr="00685153">
        <w:rPr>
          <w:rFonts w:ascii="Times New Roman" w:hAnsi="Times New Roman"/>
        </w:rPr>
        <w:t xml:space="preserve"> </w:t>
      </w:r>
      <w:r w:rsidRPr="00685153">
        <w:rPr>
          <w:rFonts w:ascii="Times New Roman" w:hAnsi="Times New Roman"/>
        </w:rPr>
        <w:t xml:space="preserve">systems.  </w:t>
      </w:r>
    </w:p>
    <w:p w14:paraId="6DE980F1" w14:textId="77777777" w:rsidR="00EC30F9" w:rsidRPr="00685153" w:rsidRDefault="00EC30F9" w:rsidP="00EC30F9">
      <w:pPr>
        <w:rPr>
          <w:rFonts w:ascii="Times New Roman" w:hAnsi="Times New Roman"/>
        </w:rPr>
      </w:pPr>
    </w:p>
    <w:p w14:paraId="32049510" w14:textId="6CFE6921" w:rsidR="00EC30F9" w:rsidRPr="00685153" w:rsidRDefault="00EC30F9" w:rsidP="00EC30F9">
      <w:pPr>
        <w:rPr>
          <w:rFonts w:ascii="Times New Roman" w:eastAsia="Times New Roman" w:hAnsi="Times New Roman" w:cs="Times New Roman"/>
        </w:rPr>
      </w:pPr>
      <w:r w:rsidRPr="00685153">
        <w:rPr>
          <w:rFonts w:ascii="Times New Roman" w:hAnsi="Times New Roman"/>
        </w:rPr>
        <w:t xml:space="preserve">Polaris, a </w:t>
      </w:r>
      <w:r w:rsidR="00F055FD" w:rsidRPr="00685153">
        <w:rPr>
          <w:rFonts w:ascii="Times New Roman" w:hAnsi="Times New Roman"/>
        </w:rPr>
        <w:t>44</w:t>
      </w:r>
      <w:r w:rsidRPr="00685153">
        <w:rPr>
          <w:rFonts w:ascii="Times New Roman" w:hAnsi="Times New Roman"/>
        </w:rPr>
        <w:t xml:space="preserve">-petaflop </w:t>
      </w:r>
      <w:r w:rsidR="00F055FD" w:rsidRPr="00685153">
        <w:rPr>
          <w:rFonts w:ascii="Times New Roman" w:hAnsi="Times New Roman"/>
        </w:rPr>
        <w:t xml:space="preserve">peak performance </w:t>
      </w:r>
      <w:r w:rsidRPr="00685153">
        <w:rPr>
          <w:rFonts w:ascii="Times New Roman" w:hAnsi="Times New Roman"/>
        </w:rPr>
        <w:t xml:space="preserve">CPU/GPU hybrid resource, </w:t>
      </w:r>
      <w:r w:rsidR="003509FC" w:rsidRPr="00685153">
        <w:rPr>
          <w:rFonts w:ascii="Times New Roman" w:eastAsia="Times New Roman" w:hAnsi="Times New Roman" w:cs="Times New Roman"/>
        </w:rPr>
        <w:t>was</w:t>
      </w:r>
      <w:r w:rsidR="00F055FD" w:rsidRPr="00685153">
        <w:rPr>
          <w:rFonts w:ascii="Times New Roman" w:eastAsia="Times New Roman" w:hAnsi="Times New Roman" w:cs="Times New Roman"/>
        </w:rPr>
        <w:t xml:space="preserve"> d</w:t>
      </w:r>
      <w:r w:rsidR="00F055FD" w:rsidRPr="00685153">
        <w:rPr>
          <w:rFonts w:ascii="Times New Roman" w:eastAsia="Times New Roman" w:hAnsi="Times New Roman" w:cs="Times New Roman"/>
        </w:rPr>
        <w:t>eveloped in collaboration with Hewlett Packard Enterprise (HPE), Polaris is a leading-edge testbed system that will give scientists and application developers a platform to test and optimize codes for Aurora, Argonne's upcoming Intel-HPE exascale supercomputer</w:t>
      </w:r>
      <w:r w:rsidRPr="00685153">
        <w:rPr>
          <w:rFonts w:ascii="Times New Roman" w:hAnsi="Times New Roman"/>
        </w:rPr>
        <w:t>. It will allow users to prepare and scale their codes, and ultimately their science for future exascale systems. Polaris comprise</w:t>
      </w:r>
      <w:r w:rsidR="00F055FD" w:rsidRPr="00685153">
        <w:rPr>
          <w:rFonts w:ascii="Times New Roman" w:hAnsi="Times New Roman"/>
        </w:rPr>
        <w:t xml:space="preserve">s </w:t>
      </w:r>
      <w:r w:rsidRPr="00685153">
        <w:rPr>
          <w:rFonts w:ascii="Times New Roman" w:hAnsi="Times New Roman"/>
        </w:rPr>
        <w:t>5</w:t>
      </w:r>
      <w:r w:rsidR="00FF62D4" w:rsidRPr="00685153">
        <w:rPr>
          <w:rFonts w:ascii="Times New Roman" w:hAnsi="Times New Roman"/>
        </w:rPr>
        <w:t>6</w:t>
      </w:r>
      <w:r w:rsidRPr="00685153">
        <w:rPr>
          <w:rFonts w:ascii="Times New Roman" w:hAnsi="Times New Roman"/>
        </w:rPr>
        <w:t xml:space="preserve">0 nodes of 4 GPUs each. </w:t>
      </w:r>
    </w:p>
    <w:p w14:paraId="74D755DC" w14:textId="77777777" w:rsidR="00EC30F9" w:rsidRPr="00685153" w:rsidRDefault="00EC30F9" w:rsidP="00EC30F9">
      <w:pPr>
        <w:rPr>
          <w:rFonts w:ascii="Times New Roman" w:hAnsi="Times New Roman"/>
        </w:rPr>
      </w:pPr>
    </w:p>
    <w:p w14:paraId="0405CAF7" w14:textId="1DA24C92" w:rsidR="00EC30F9" w:rsidRPr="0049175B" w:rsidRDefault="009E4ED2" w:rsidP="00EC30F9">
      <w:pPr>
        <w:rPr>
          <w:rFonts w:ascii="Times New Roman" w:eastAsia="Times New Roman" w:hAnsi="Times New Roman" w:cs="Times New Roman"/>
        </w:rPr>
      </w:pPr>
      <w:r>
        <w:rPr>
          <w:rFonts w:ascii="Times New Roman" w:hAnsi="Times New Roman"/>
        </w:rPr>
        <w:t xml:space="preserve">Installation of </w:t>
      </w:r>
      <w:r w:rsidR="00EC30F9" w:rsidRPr="00685153">
        <w:rPr>
          <w:rFonts w:ascii="Times New Roman" w:hAnsi="Times New Roman"/>
        </w:rPr>
        <w:t xml:space="preserve">Aurora, Argonne’s first exascale computer, </w:t>
      </w:r>
      <w:r>
        <w:rPr>
          <w:rFonts w:ascii="Times New Roman" w:hAnsi="Times New Roman"/>
        </w:rPr>
        <w:t>began</w:t>
      </w:r>
      <w:r>
        <w:rPr>
          <w:rFonts w:ascii="Times New Roman" w:hAnsi="Times New Roman"/>
        </w:rPr>
        <w:t xml:space="preserve"> </w:t>
      </w:r>
      <w:r>
        <w:rPr>
          <w:rFonts w:ascii="Times New Roman" w:hAnsi="Times New Roman"/>
        </w:rPr>
        <w:t>at Argonne in mid-2022</w:t>
      </w:r>
      <w:r w:rsidR="00EC30F9" w:rsidRPr="00685153">
        <w:rPr>
          <w:rFonts w:ascii="Times New Roman" w:hAnsi="Times New Roman"/>
        </w:rPr>
        <w:t xml:space="preserve">. </w:t>
      </w:r>
      <w:r w:rsidRPr="009E4ED2">
        <w:rPr>
          <w:rFonts w:ascii="Times New Roman" w:eastAsia="Times New Roman" w:hAnsi="Times New Roman" w:cs="Times New Roman"/>
        </w:rPr>
        <w:t>Aurora combines more than 10,000 Intel-outfitted blades into an HPE Cray EX supercomputer. Each compute blade has two Sapphire Rapids Xeon CPUs and six Ponte Vecchio GPUs, integrated into HPE’s Cray EX architecture with Slingshot networking.</w:t>
      </w:r>
      <w:r>
        <w:rPr>
          <w:rFonts w:ascii="Times New Roman" w:eastAsia="Times New Roman" w:hAnsi="Times New Roman" w:cs="Times New Roman"/>
        </w:rPr>
        <w:t xml:space="preserve"> W</w:t>
      </w:r>
      <w:r>
        <w:rPr>
          <w:rFonts w:ascii="Times New Roman" w:eastAsia="Times New Roman" w:hAnsi="Times New Roman" w:cs="Times New Roman"/>
        </w:rPr>
        <w:t>hen fully deployed</w:t>
      </w:r>
      <w:r>
        <w:rPr>
          <w:rFonts w:ascii="Times New Roman" w:eastAsia="Times New Roman" w:hAnsi="Times New Roman" w:cs="Times New Roman"/>
        </w:rPr>
        <w:t>, Aurora is projected to have a</w:t>
      </w:r>
      <w:r w:rsidR="006C6E0E" w:rsidRPr="00685153">
        <w:rPr>
          <w:rFonts w:ascii="Times New Roman" w:eastAsia="Times New Roman" w:hAnsi="Times New Roman" w:cs="Times New Roman"/>
        </w:rPr>
        <w:t xml:space="preserve"> peak performance </w:t>
      </w:r>
      <w:r>
        <w:rPr>
          <w:rFonts w:ascii="Times New Roman" w:eastAsia="Times New Roman" w:hAnsi="Times New Roman" w:cs="Times New Roman"/>
        </w:rPr>
        <w:t xml:space="preserve">of </w:t>
      </w:r>
      <w:r w:rsidR="006C6E0E" w:rsidRPr="00685153">
        <w:rPr>
          <w:rFonts w:ascii="Times New Roman" w:eastAsia="Times New Roman" w:hAnsi="Times New Roman" w:cs="Times New Roman"/>
        </w:rPr>
        <w:t>more than 2 exaflops.</w:t>
      </w:r>
      <w:r w:rsidR="0049175B">
        <w:rPr>
          <w:rFonts w:ascii="Times New Roman" w:eastAsia="Times New Roman" w:hAnsi="Times New Roman" w:cs="Times New Roman"/>
        </w:rPr>
        <w:t xml:space="preserve"> </w:t>
      </w:r>
      <w:r w:rsidR="00EC30F9" w:rsidRPr="00685153">
        <w:rPr>
          <w:rFonts w:ascii="Times New Roman" w:hAnsi="Times New Roman"/>
        </w:rPr>
        <w:t xml:space="preserve">Aurora’s revolutionary architecture will support machine learning and data science workloads alongside traditional modeling and simulation workloads. </w:t>
      </w:r>
    </w:p>
    <w:p w14:paraId="6D482AE3" w14:textId="77777777" w:rsidR="00EC30F9" w:rsidRPr="00685153" w:rsidRDefault="00EC30F9" w:rsidP="00EC30F9">
      <w:pPr>
        <w:rPr>
          <w:rFonts w:ascii="Times New Roman" w:hAnsi="Times New Roman"/>
        </w:rPr>
      </w:pPr>
    </w:p>
    <w:p w14:paraId="04A23969" w14:textId="17AE9990" w:rsidR="00EC30F9" w:rsidRPr="00685153" w:rsidRDefault="00EC30F9" w:rsidP="00EC30F9">
      <w:pPr>
        <w:rPr>
          <w:rFonts w:ascii="Times New Roman" w:hAnsi="Times New Roman"/>
        </w:rPr>
      </w:pPr>
      <w:r w:rsidRPr="00685153">
        <w:rPr>
          <w:rFonts w:ascii="Times New Roman" w:hAnsi="Times New Roman"/>
        </w:rPr>
        <w:t>Currently, the ALCF provides allocations on its resources based on competitive proposals</w:t>
      </w:r>
      <w:r w:rsidR="006C6E0E" w:rsidRPr="00685153">
        <w:rPr>
          <w:rFonts w:ascii="Times New Roman" w:hAnsi="Times New Roman"/>
        </w:rPr>
        <w:t xml:space="preserve"> </w:t>
      </w:r>
      <w:r w:rsidRPr="00685153">
        <w:rPr>
          <w:rFonts w:ascii="Times New Roman" w:hAnsi="Times New Roman"/>
        </w:rPr>
        <w:t xml:space="preserve">through </w:t>
      </w:r>
      <w:r w:rsidR="006C6E0E" w:rsidRPr="00685153">
        <w:rPr>
          <w:rFonts w:ascii="Times New Roman" w:hAnsi="Times New Roman"/>
        </w:rPr>
        <w:t xml:space="preserve">several programs, including </w:t>
      </w:r>
      <w:r w:rsidRPr="00685153">
        <w:rPr>
          <w:rFonts w:ascii="Times New Roman" w:hAnsi="Times New Roman"/>
        </w:rPr>
        <w:t xml:space="preserve">the INCITE program, the ASCR Leadership Computing Challenge, the ALCF Director’s Discretionary program, the ALCF Data Science Program, and the Aurora Early Science Program. </w:t>
      </w:r>
    </w:p>
    <w:p w14:paraId="5E8116D5" w14:textId="77777777" w:rsidR="00EC30F9" w:rsidRPr="00685153" w:rsidRDefault="00EC30F9" w:rsidP="00EC30F9">
      <w:pPr>
        <w:rPr>
          <w:rFonts w:ascii="Times New Roman" w:hAnsi="Times New Roman"/>
        </w:rPr>
      </w:pPr>
    </w:p>
    <w:p w14:paraId="1955D13B" w14:textId="43816053" w:rsidR="00EC30F9" w:rsidRPr="00685153" w:rsidRDefault="00EC30F9" w:rsidP="00EC30F9">
      <w:pPr>
        <w:rPr>
          <w:rFonts w:ascii="Times New Roman" w:hAnsi="Times New Roman"/>
          <w:b/>
          <w:bCs/>
        </w:rPr>
      </w:pPr>
      <w:r w:rsidRPr="00685153">
        <w:rPr>
          <w:rFonts w:ascii="Times New Roman" w:hAnsi="Times New Roman"/>
          <w:b/>
          <w:bCs/>
        </w:rPr>
        <w:t>LCRC</w:t>
      </w:r>
    </w:p>
    <w:p w14:paraId="1291A200" w14:textId="77777777" w:rsidR="0049175B" w:rsidRDefault="00EC30F9" w:rsidP="0049175B">
      <w:pPr>
        <w:rPr>
          <w:rFonts w:ascii="Times New Roman" w:hAnsi="Times New Roman"/>
        </w:rPr>
      </w:pPr>
      <w:r w:rsidRPr="00685153">
        <w:rPr>
          <w:rFonts w:ascii="Times New Roman" w:hAnsi="Times New Roman"/>
        </w:rPr>
        <w:t xml:space="preserve">Apart from the ALCF facilities, Argonne also hosts several other resources in the </w:t>
      </w:r>
      <w:r w:rsidR="00E14810" w:rsidRPr="00685153">
        <w:rPr>
          <w:rFonts w:ascii="Times New Roman" w:hAnsi="Times New Roman"/>
        </w:rPr>
        <w:t>(</w:t>
      </w:r>
      <w:hyperlink r:id="rId4" w:history="1">
        <w:r w:rsidR="00E14810" w:rsidRPr="00685153">
          <w:rPr>
            <w:rStyle w:val="Hyperlink"/>
            <w:rFonts w:ascii="Times New Roman" w:hAnsi="Times New Roman"/>
            <w:color w:val="auto"/>
          </w:rPr>
          <w:t>https://www.lcrc.anl.gov</w:t>
        </w:r>
      </w:hyperlink>
      <w:r w:rsidR="00E14810" w:rsidRPr="00685153">
        <w:rPr>
          <w:rFonts w:ascii="Times New Roman" w:hAnsi="Times New Roman"/>
        </w:rPr>
        <w:t xml:space="preserve">) </w:t>
      </w:r>
      <w:r w:rsidRPr="00685153">
        <w:rPr>
          <w:rFonts w:ascii="Times New Roman" w:hAnsi="Times New Roman"/>
        </w:rPr>
        <w:t xml:space="preserve">Laboratory Computing Resource Center (LCRC). </w:t>
      </w:r>
    </w:p>
    <w:p w14:paraId="4865B150" w14:textId="77777777" w:rsidR="0049175B" w:rsidRDefault="0049175B" w:rsidP="0049175B">
      <w:pPr>
        <w:rPr>
          <w:rFonts w:ascii="Times New Roman" w:hAnsi="Times New Roman"/>
        </w:rPr>
      </w:pPr>
    </w:p>
    <w:p w14:paraId="1B28417E" w14:textId="77777777" w:rsidR="0049175B" w:rsidRDefault="00EC30F9" w:rsidP="0049175B">
      <w:pPr>
        <w:rPr>
          <w:rFonts w:ascii="Times New Roman" w:hAnsi="Times New Roman"/>
        </w:rPr>
      </w:pPr>
      <w:r w:rsidRPr="00685153">
        <w:rPr>
          <w:rFonts w:ascii="Times New Roman" w:hAnsi="Times New Roman"/>
        </w:rPr>
        <w:t xml:space="preserve">Bebop </w:t>
      </w:r>
      <w:r w:rsidR="006C6E0E" w:rsidRPr="00685153">
        <w:rPr>
          <w:rFonts w:ascii="Times New Roman" w:hAnsi="Times New Roman"/>
        </w:rPr>
        <w:t xml:space="preserve">is the current production system. It </w:t>
      </w:r>
      <w:r w:rsidRPr="00685153">
        <w:rPr>
          <w:rFonts w:ascii="Times New Roman" w:hAnsi="Times New Roman"/>
        </w:rPr>
        <w:t>has 1,024 public nodes, with 128 GB (Intel Broadwell) / 96 GB Intel Knights Landing) of memory on each node. Blues, the second computing cluster, has approximately 350 public nodes, with 64 GB (Intel Sandy Bridge)/128 GB (Intel Haswell) of memory on each node.</w:t>
      </w:r>
      <w:r w:rsidR="00685153" w:rsidRPr="00685153">
        <w:rPr>
          <w:rFonts w:ascii="Times New Roman" w:hAnsi="Times New Roman"/>
        </w:rPr>
        <w:t xml:space="preserve"> </w:t>
      </w:r>
    </w:p>
    <w:p w14:paraId="312E4B53" w14:textId="77777777" w:rsidR="0049175B" w:rsidRDefault="0049175B" w:rsidP="0049175B">
      <w:pPr>
        <w:rPr>
          <w:rFonts w:ascii="Times New Roman" w:hAnsi="Times New Roman"/>
        </w:rPr>
      </w:pPr>
    </w:p>
    <w:p w14:paraId="188D0BF9" w14:textId="72653EFC" w:rsidR="006C6E0E" w:rsidRPr="00685153" w:rsidRDefault="006C6E0E" w:rsidP="0049175B">
      <w:pPr>
        <w:rPr>
          <w:rFonts w:ascii="Times New Roman" w:hAnsi="Times New Roman"/>
        </w:rPr>
      </w:pPr>
      <w:r w:rsidRPr="006C6E0E">
        <w:rPr>
          <w:rFonts w:ascii="Times New Roman" w:eastAsia="Times New Roman" w:hAnsi="Times New Roman" w:cs="Times New Roman"/>
        </w:rPr>
        <w:t xml:space="preserve">Swing is a GPU addition to the computational power of LCRC. </w:t>
      </w:r>
      <w:r w:rsidR="00685153" w:rsidRPr="00685153">
        <w:rPr>
          <w:rFonts w:ascii="Times New Roman" w:eastAsia="Times New Roman" w:hAnsi="Times New Roman" w:cs="Times New Roman"/>
        </w:rPr>
        <w:t xml:space="preserve">Added in 2021, it </w:t>
      </w:r>
      <w:r w:rsidR="00685153" w:rsidRPr="00685153">
        <w:rPr>
          <w:rFonts w:ascii="Times New Roman" w:hAnsi="Times New Roman"/>
        </w:rPr>
        <w:t>runs with 2x AMD EPYC 7742 64-Core Processor and 8x NVIDIA A100 GPUS per node.</w:t>
      </w:r>
      <w:r w:rsidR="00685153" w:rsidRPr="00685153">
        <w:rPr>
          <w:rFonts w:ascii="Times New Roman" w:hAnsi="Times New Roman"/>
        </w:rPr>
        <w:t xml:space="preserve"> </w:t>
      </w:r>
      <w:r w:rsidR="00685153" w:rsidRPr="00685153">
        <w:rPr>
          <w:rFonts w:ascii="Times New Roman" w:hAnsi="Times New Roman"/>
        </w:rPr>
        <w:t>Swing is also using an Infini</w:t>
      </w:r>
      <w:r w:rsidR="00685153" w:rsidRPr="00685153">
        <w:rPr>
          <w:rFonts w:ascii="Times New Roman" w:hAnsi="Times New Roman"/>
        </w:rPr>
        <w:t>B</w:t>
      </w:r>
      <w:r w:rsidR="00685153" w:rsidRPr="00685153">
        <w:rPr>
          <w:rFonts w:ascii="Times New Roman" w:hAnsi="Times New Roman"/>
        </w:rPr>
        <w:t>and HDR interconnect for its network</w:t>
      </w:r>
      <w:r w:rsidR="00685153" w:rsidRPr="00685153">
        <w:rPr>
          <w:rFonts w:ascii="Times New Roman" w:eastAsia="Times New Roman" w:hAnsi="Times New Roman" w:cs="Times New Roman"/>
        </w:rPr>
        <w:t>.</w:t>
      </w:r>
    </w:p>
    <w:p w14:paraId="06FBC852" w14:textId="200B4508" w:rsidR="005B15EA" w:rsidRPr="00685153" w:rsidRDefault="003509FC" w:rsidP="00EC30F9">
      <w:pPr>
        <w:rPr>
          <w:rFonts w:ascii="Times New Roman" w:hAnsi="Times New Roman"/>
        </w:rPr>
      </w:pPr>
    </w:p>
    <w:sectPr w:rsidR="005B15EA" w:rsidRPr="00685153" w:rsidSect="00386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F9"/>
    <w:rsid w:val="00153D42"/>
    <w:rsid w:val="001E1C8A"/>
    <w:rsid w:val="00210CDD"/>
    <w:rsid w:val="00225005"/>
    <w:rsid w:val="002C4612"/>
    <w:rsid w:val="003509FC"/>
    <w:rsid w:val="0038605B"/>
    <w:rsid w:val="0049175B"/>
    <w:rsid w:val="00605086"/>
    <w:rsid w:val="00685153"/>
    <w:rsid w:val="006C6E0E"/>
    <w:rsid w:val="006D3AD0"/>
    <w:rsid w:val="00974219"/>
    <w:rsid w:val="009D5B6A"/>
    <w:rsid w:val="009E4ED2"/>
    <w:rsid w:val="00DF67F8"/>
    <w:rsid w:val="00E14810"/>
    <w:rsid w:val="00E935B1"/>
    <w:rsid w:val="00EB3CA8"/>
    <w:rsid w:val="00EC30F9"/>
    <w:rsid w:val="00F055FD"/>
    <w:rsid w:val="00FC7E49"/>
    <w:rsid w:val="00FF6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A38CC8"/>
  <w15:chartTrackingRefBased/>
  <w15:docId w15:val="{0708A163-265C-CD45-B975-DD705388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810"/>
    <w:rPr>
      <w:color w:val="0563C1" w:themeColor="hyperlink"/>
      <w:u w:val="single"/>
    </w:rPr>
  </w:style>
  <w:style w:type="character" w:styleId="UnresolvedMention">
    <w:name w:val="Unresolved Mention"/>
    <w:basedOn w:val="DefaultParagraphFont"/>
    <w:uiPriority w:val="99"/>
    <w:semiHidden/>
    <w:unhideWhenUsed/>
    <w:rsid w:val="00E14810"/>
    <w:rPr>
      <w:color w:val="605E5C"/>
      <w:shd w:val="clear" w:color="auto" w:fill="E1DFDD"/>
    </w:rPr>
  </w:style>
  <w:style w:type="paragraph" w:styleId="NormalWeb">
    <w:name w:val="Normal (Web)"/>
    <w:basedOn w:val="Normal"/>
    <w:uiPriority w:val="99"/>
    <w:unhideWhenUsed/>
    <w:rsid w:val="0068515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22556">
      <w:bodyDiv w:val="1"/>
      <w:marLeft w:val="0"/>
      <w:marRight w:val="0"/>
      <w:marTop w:val="0"/>
      <w:marBottom w:val="0"/>
      <w:divBdr>
        <w:top w:val="none" w:sz="0" w:space="0" w:color="auto"/>
        <w:left w:val="none" w:sz="0" w:space="0" w:color="auto"/>
        <w:bottom w:val="none" w:sz="0" w:space="0" w:color="auto"/>
        <w:right w:val="none" w:sz="0" w:space="0" w:color="auto"/>
      </w:divBdr>
    </w:div>
    <w:div w:id="213658301">
      <w:bodyDiv w:val="1"/>
      <w:marLeft w:val="0"/>
      <w:marRight w:val="0"/>
      <w:marTop w:val="0"/>
      <w:marBottom w:val="0"/>
      <w:divBdr>
        <w:top w:val="none" w:sz="0" w:space="0" w:color="auto"/>
        <w:left w:val="none" w:sz="0" w:space="0" w:color="auto"/>
        <w:bottom w:val="none" w:sz="0" w:space="0" w:color="auto"/>
        <w:right w:val="none" w:sz="0" w:space="0" w:color="auto"/>
      </w:divBdr>
    </w:div>
    <w:div w:id="545337149">
      <w:bodyDiv w:val="1"/>
      <w:marLeft w:val="0"/>
      <w:marRight w:val="0"/>
      <w:marTop w:val="0"/>
      <w:marBottom w:val="0"/>
      <w:divBdr>
        <w:top w:val="none" w:sz="0" w:space="0" w:color="auto"/>
        <w:left w:val="none" w:sz="0" w:space="0" w:color="auto"/>
        <w:bottom w:val="none" w:sz="0" w:space="0" w:color="auto"/>
        <w:right w:val="none" w:sz="0" w:space="0" w:color="auto"/>
      </w:divBdr>
    </w:div>
    <w:div w:id="1084031706">
      <w:bodyDiv w:val="1"/>
      <w:marLeft w:val="0"/>
      <w:marRight w:val="0"/>
      <w:marTop w:val="0"/>
      <w:marBottom w:val="0"/>
      <w:divBdr>
        <w:top w:val="none" w:sz="0" w:space="0" w:color="auto"/>
        <w:left w:val="none" w:sz="0" w:space="0" w:color="auto"/>
        <w:bottom w:val="none" w:sz="0" w:space="0" w:color="auto"/>
        <w:right w:val="none" w:sz="0" w:space="0" w:color="auto"/>
      </w:divBdr>
    </w:div>
    <w:div w:id="1500348382">
      <w:bodyDiv w:val="1"/>
      <w:marLeft w:val="0"/>
      <w:marRight w:val="0"/>
      <w:marTop w:val="0"/>
      <w:marBottom w:val="0"/>
      <w:divBdr>
        <w:top w:val="none" w:sz="0" w:space="0" w:color="auto"/>
        <w:left w:val="none" w:sz="0" w:space="0" w:color="auto"/>
        <w:bottom w:val="none" w:sz="0" w:space="0" w:color="auto"/>
        <w:right w:val="none" w:sz="0" w:space="0" w:color="auto"/>
      </w:divBdr>
    </w:div>
    <w:div w:id="1933195350">
      <w:bodyDiv w:val="1"/>
      <w:marLeft w:val="0"/>
      <w:marRight w:val="0"/>
      <w:marTop w:val="0"/>
      <w:marBottom w:val="0"/>
      <w:divBdr>
        <w:top w:val="none" w:sz="0" w:space="0" w:color="auto"/>
        <w:left w:val="none" w:sz="0" w:space="0" w:color="auto"/>
        <w:bottom w:val="none" w:sz="0" w:space="0" w:color="auto"/>
        <w:right w:val="none" w:sz="0" w:space="0" w:color="auto"/>
      </w:divBdr>
    </w:div>
    <w:div w:id="2137524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crc.anl.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Pieper, Gail W.</dc:creator>
  <cp:keywords/>
  <dc:description/>
  <cp:lastModifiedBy>Pieper, Gail W.</cp:lastModifiedBy>
  <cp:revision>2</cp:revision>
  <dcterms:created xsi:type="dcterms:W3CDTF">2022-06-03T17:43:00Z</dcterms:created>
  <dcterms:modified xsi:type="dcterms:W3CDTF">2022-06-03T17:43:00Z</dcterms:modified>
</cp:coreProperties>
</file>