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D8B59F4" w:rsidP="556735E8" w:rsidRDefault="3D8B59F4" w14:paraId="45605F0E" w14:textId="5F260DCE">
      <w:pPr>
        <w:pStyle w:val="Heading1"/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56735E8" w:rsidR="3251F375">
        <w:rPr>
          <w:rFonts w:ascii="Aptos Display" w:hAnsi="Aptos Display" w:eastAsia="Aptos Display" w:cs="Aptos Display"/>
          <w:b w:val="0"/>
          <w:bCs w:val="0"/>
          <w:noProof w:val="0"/>
          <w:color w:val="0F4761"/>
          <w:sz w:val="40"/>
          <w:szCs w:val="40"/>
          <w:lang w:val="en-US"/>
        </w:rPr>
        <w:t>Appendix 2: Facilities &amp; Other Resources</w:t>
      </w:r>
      <w:r w:rsidRPr="556735E8" w:rsidR="4CA99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3D8B59F4" w:rsidP="556735E8" w:rsidRDefault="3D8B59F4" w14:paraId="7B311BDC" w14:textId="0C491B8F">
      <w:pPr>
        <w:pStyle w:val="Heading1"/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56735E8" w:rsidR="4CA99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Lawrence Livermore National Laboratory computational researchers receive support from Livermore Computing (LC), which provides a well-rounded High-Performance Computing (HPC) ecosystem. LC continually updates its hardware resources and boasts a wealth of </w:t>
      </w:r>
      <w:r w:rsidRPr="556735E8" w:rsidR="4CA99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expertise</w:t>
      </w:r>
      <w:r w:rsidRPr="556735E8" w:rsidR="4CA99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running, adapting, and </w:t>
      </w:r>
      <w:r w:rsidRPr="556735E8" w:rsidR="4CA99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optimizing</w:t>
      </w:r>
      <w:r w:rsidRPr="556735E8" w:rsidR="4CA99E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real-world, large-scale applications. Presently, LC offers over 500 petaflops of computing power, extensive shared parallel file systems, robust data analysis platforms, and archival storage with a capacity for hundreds of petabytes. The following HPC systems will be made available for this project.</w:t>
      </w:r>
    </w:p>
    <w:p w:rsidR="3D8B59F4" w:rsidP="2474F1D8" w:rsidRDefault="3D8B59F4" w14:paraId="5A3B5AE1" w14:textId="38DDADFE">
      <w:pPr>
        <w:pStyle w:val="Heading4"/>
        <w:keepNext w:val="1"/>
        <w:keepLines w:val="1"/>
        <w:spacing w:before="80" w:beforeAutospacing="off" w:after="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/>
          <w:sz w:val="22"/>
          <w:szCs w:val="22"/>
          <w:lang w:val="en-US"/>
        </w:rPr>
      </w:pPr>
      <w:r w:rsidRPr="2474F1D8" w:rsidR="06759A4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F4761"/>
          <w:sz w:val="22"/>
          <w:szCs w:val="22"/>
          <w:lang w:val="en-US"/>
        </w:rPr>
        <w:t>Computer Resources</w:t>
      </w:r>
    </w:p>
    <w:tbl>
      <w:tblPr>
        <w:tblStyle w:val="TableNormal"/>
        <w:bidiVisual w:val="0"/>
        <w:tblW w:w="0" w:type="auto"/>
        <w:tblInd w:w="9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20"/>
        <w:gridCol w:w="3030"/>
        <w:gridCol w:w="3675"/>
      </w:tblGrid>
      <w:tr w:rsidR="2474F1D8" w:rsidTr="2474F1D8" w14:paraId="4D74862F">
        <w:trPr>
          <w:trHeight w:val="270"/>
        </w:trPr>
        <w:tc>
          <w:tcPr>
            <w:tcW w:w="2520" w:type="dxa"/>
            <w:tcBorders>
              <w:top w:val="single" w:color="0E2841" w:sz="24"/>
              <w:left w:val="single" w:color="156082" w:sz="6"/>
              <w:bottom w:val="nil"/>
              <w:right w:val="single" w:color="BFBFBF" w:themeColor="background1" w:themeShade="BF" w:sz="6"/>
            </w:tcBorders>
            <w:shd w:val="clear" w:color="auto" w:fill="156082"/>
            <w:tcMar>
              <w:left w:w="105" w:type="dxa"/>
              <w:right w:w="105" w:type="dxa"/>
            </w:tcMar>
            <w:vAlign w:val="center"/>
          </w:tcPr>
          <w:p w:rsidR="2474F1D8" w:rsidP="2474F1D8" w:rsidRDefault="2474F1D8" w14:paraId="70E85C06" w14:textId="5DFC173C">
            <w:pPr>
              <w:pStyle w:val="Heading4"/>
              <w:keepNext w:val="1"/>
              <w:keepLines w:val="1"/>
              <w:spacing w:before="20" w:after="2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2474F1D8" w:rsidR="2474F1D8">
              <w:rPr>
                <w:rFonts w:ascii="Aptos" w:hAnsi="Aptos" w:eastAsia="Aptos" w:cs="Aptos"/>
                <w:b w:val="1"/>
                <w:bCs w:val="1"/>
                <w:i w:val="1"/>
                <w:iCs w:val="1"/>
                <w:color w:val="FFFFFF" w:themeColor="background1" w:themeTint="FF" w:themeShade="FF"/>
                <w:sz w:val="22"/>
                <w:szCs w:val="22"/>
                <w:lang w:val="en-US"/>
              </w:rPr>
              <w:t>Name &amp; Location</w:t>
            </w:r>
          </w:p>
        </w:tc>
        <w:tc>
          <w:tcPr>
            <w:tcW w:w="3030" w:type="dxa"/>
            <w:tcBorders>
              <w:top w:val="single" w:color="0E2841" w:sz="24"/>
              <w:left w:val="single" w:color="BFBFBF" w:themeColor="background1" w:themeShade="BF" w:sz="6"/>
              <w:bottom w:val="nil"/>
              <w:right w:val="single" w:color="BFBFBF" w:themeColor="background1" w:themeShade="BF" w:sz="6"/>
            </w:tcBorders>
            <w:shd w:val="clear" w:color="auto" w:fill="156082"/>
            <w:tcMar>
              <w:left w:w="105" w:type="dxa"/>
              <w:right w:w="105" w:type="dxa"/>
            </w:tcMar>
            <w:vAlign w:val="center"/>
          </w:tcPr>
          <w:p w:rsidR="2474F1D8" w:rsidP="2474F1D8" w:rsidRDefault="2474F1D8" w14:paraId="6BFEB633" w14:textId="16CFD062">
            <w:pPr>
              <w:pStyle w:val="Heading4"/>
              <w:keepNext w:val="1"/>
              <w:keepLines w:val="1"/>
              <w:spacing w:before="20" w:after="2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2474F1D8" w:rsidR="2474F1D8">
              <w:rPr>
                <w:rFonts w:ascii="Aptos" w:hAnsi="Aptos" w:eastAsia="Aptos" w:cs="Aptos"/>
                <w:b w:val="1"/>
                <w:bCs w:val="1"/>
                <w:i w:val="1"/>
                <w:iCs w:val="1"/>
                <w:color w:val="FFFFFF" w:themeColor="background1" w:themeTint="FF" w:themeShade="FF"/>
                <w:sz w:val="22"/>
                <w:szCs w:val="22"/>
                <w:lang w:val="en-US"/>
              </w:rPr>
              <w:t>Pertinent Capability</w:t>
            </w:r>
          </w:p>
        </w:tc>
        <w:tc>
          <w:tcPr>
            <w:tcW w:w="3675" w:type="dxa"/>
            <w:tcBorders>
              <w:top w:val="single" w:color="0E2841" w:sz="24"/>
              <w:left w:val="single" w:color="BFBFBF" w:themeColor="background1" w:themeShade="BF" w:sz="6"/>
              <w:bottom w:val="nil"/>
              <w:right w:val="single" w:color="156082" w:sz="6"/>
            </w:tcBorders>
            <w:shd w:val="clear" w:color="auto" w:fill="156082"/>
            <w:tcMar>
              <w:left w:w="105" w:type="dxa"/>
              <w:right w:w="105" w:type="dxa"/>
            </w:tcMar>
            <w:vAlign w:val="center"/>
          </w:tcPr>
          <w:p w:rsidR="2474F1D8" w:rsidP="2474F1D8" w:rsidRDefault="2474F1D8" w14:paraId="38C5FB5B" w14:textId="189A3EB8">
            <w:pPr>
              <w:pStyle w:val="Heading4"/>
              <w:keepNext w:val="1"/>
              <w:keepLines w:val="1"/>
              <w:spacing w:before="20" w:after="2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</w:pPr>
            <w:r w:rsidRPr="2474F1D8" w:rsidR="2474F1D8">
              <w:rPr>
                <w:rFonts w:ascii="Aptos" w:hAnsi="Aptos" w:eastAsia="Aptos" w:cs="Aptos"/>
                <w:b w:val="1"/>
                <w:bCs w:val="1"/>
                <w:i w:val="1"/>
                <w:iCs w:val="1"/>
                <w:color w:val="FFFFFF" w:themeColor="background1" w:themeTint="FF" w:themeShade="FF"/>
                <w:sz w:val="22"/>
                <w:szCs w:val="22"/>
                <w:lang w:val="en-US"/>
              </w:rPr>
              <w:t>Availability</w:t>
            </w:r>
          </w:p>
        </w:tc>
      </w:tr>
      <w:tr w:rsidR="2474F1D8" w:rsidTr="2474F1D8" w14:paraId="33A4CD4E">
        <w:trPr>
          <w:trHeight w:val="270"/>
        </w:trPr>
        <w:tc>
          <w:tcPr>
            <w:tcW w:w="2520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105" w:type="dxa"/>
              <w:right w:w="105" w:type="dxa"/>
            </w:tcMar>
            <w:vAlign w:val="top"/>
          </w:tcPr>
          <w:p w:rsidR="2474F1D8" w:rsidP="2474F1D8" w:rsidRDefault="2474F1D8" w14:paraId="49217AE3" w14:textId="4BD41B56">
            <w:pPr>
              <w:spacing w:before="20" w:after="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474F1D8" w:rsidR="2474F1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Tuolumne, LLNL</w:t>
            </w:r>
          </w:p>
        </w:tc>
        <w:tc>
          <w:tcPr>
            <w:tcW w:w="3030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105" w:type="dxa"/>
              <w:right w:w="105" w:type="dxa"/>
            </w:tcMar>
            <w:vAlign w:val="top"/>
          </w:tcPr>
          <w:p w:rsidR="2474F1D8" w:rsidP="2474F1D8" w:rsidRDefault="2474F1D8" w14:paraId="4330A3A4" w14:textId="5B08B1BB">
            <w:pPr>
              <w:spacing w:before="20" w:after="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474F1D8" w:rsidR="2474F1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290 Petaflops (CPUs + GPUs)</w:t>
            </w:r>
          </w:p>
        </w:tc>
        <w:tc>
          <w:tcPr>
            <w:tcW w:w="3675" w:type="dxa"/>
            <w:vMerge w:val="restart"/>
            <w:tcBorders>
              <w:top w:val="nil"/>
              <w:left w:val="single" w:color="BFBFBF" w:themeColor="background1" w:themeShade="BF" w:sz="6"/>
              <w:bottom w:val="single" w:sz="6"/>
              <w:right w:val="single" w:color="BFBFBF" w:themeColor="background1" w:themeShade="BF" w:sz="6"/>
            </w:tcBorders>
            <w:tcMar>
              <w:left w:w="105" w:type="dxa"/>
              <w:right w:w="105" w:type="dxa"/>
            </w:tcMar>
            <w:vAlign w:val="center"/>
          </w:tcPr>
          <w:p w:rsidR="2474F1D8" w:rsidP="2474F1D8" w:rsidRDefault="2474F1D8" w14:paraId="53A7B4DD" w14:textId="399C408E">
            <w:pPr>
              <w:spacing w:before="20" w:after="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474F1D8" w:rsidR="2474F1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The scientific computing resources at LLNL are expected to be made available to this project.</w:t>
            </w:r>
          </w:p>
        </w:tc>
      </w:tr>
      <w:tr w:rsidR="2474F1D8" w:rsidTr="2474F1D8" w14:paraId="040361C6">
        <w:trPr>
          <w:trHeight w:val="270"/>
        </w:trPr>
        <w:tc>
          <w:tcPr>
            <w:tcW w:w="25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105" w:type="dxa"/>
              <w:right w:w="105" w:type="dxa"/>
            </w:tcMar>
            <w:vAlign w:val="top"/>
          </w:tcPr>
          <w:p w:rsidR="2474F1D8" w:rsidP="2474F1D8" w:rsidRDefault="2474F1D8" w14:paraId="52F177FD" w14:textId="085675B2">
            <w:pPr>
              <w:spacing w:before="20" w:after="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474F1D8" w:rsidR="2474F1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Tioga, LLNL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105" w:type="dxa"/>
              <w:right w:w="105" w:type="dxa"/>
            </w:tcMar>
            <w:vAlign w:val="top"/>
          </w:tcPr>
          <w:p w:rsidR="2474F1D8" w:rsidP="2474F1D8" w:rsidRDefault="2474F1D8" w14:paraId="201E544C" w14:textId="66E339D8">
            <w:pPr>
              <w:spacing w:before="20" w:after="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474F1D8" w:rsidR="2474F1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Petaflops (CPUs + GPUs)</w:t>
            </w:r>
          </w:p>
        </w:tc>
        <w:tc>
          <w:tcPr>
            <w:tcW w:w="3675" w:type="dxa"/>
            <w:vMerge/>
            <w:tcBorders>
              <w:top w:sz="0"/>
              <w:left w:val="single" w:color="BFBFBF" w:themeColor="background1" w:themeShade="BF" w:sz="0"/>
              <w:bottom w:val="single" w:sz="0"/>
              <w:right w:val="single" w:color="BFBFBF" w:themeColor="background1" w:themeShade="BF" w:sz="0"/>
            </w:tcBorders>
            <w:tcMar/>
            <w:vAlign w:val="center"/>
          </w:tcPr>
          <w:p w14:paraId="3290DC46"/>
        </w:tc>
      </w:tr>
    </w:tbl>
    <w:p w:rsidR="3D8B59F4" w:rsidP="2474F1D8" w:rsidRDefault="3D8B59F4" w14:paraId="2D329C51" w14:textId="6AED3A8B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8B59F4" w:rsidP="2474F1D8" w:rsidRDefault="3D8B59F4" w14:paraId="14BE08C2" w14:textId="45698C37">
      <w:pPr>
        <w:pStyle w:val="Heading1"/>
        <w:keepNext w:val="1"/>
        <w:keepLines w:val="1"/>
        <w:bidi w:val="0"/>
        <w:spacing w:before="360" w:beforeAutospacing="off" w:after="80" w:afterAutospacing="off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US"/>
        </w:rPr>
      </w:pPr>
      <w:r w:rsidRPr="2474F1D8" w:rsidR="06759A4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US"/>
        </w:rPr>
        <w:t>Appendix 3: Equipment</w:t>
      </w:r>
    </w:p>
    <w:p w:rsidR="3D8B59F4" w:rsidP="2474F1D8" w:rsidRDefault="3D8B59F4" w14:paraId="0F5DDA46" w14:textId="0561F11C">
      <w:pPr>
        <w:bidi w:val="0"/>
        <w:spacing w:before="0" w:beforeAutospacing="off" w:after="120" w:afterAutospacing="off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74F1D8" w:rsidR="06759A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 Applicable.</w:t>
      </w:r>
    </w:p>
    <w:sectPr w:rsidRPr="00177C38" w:rsidR="00436E88" w:rsidSect="00FF2A62">
      <w:pgSz w:w="12240" w:h="15840" w:orient="portrait"/>
      <w:pgMar w:top="1440" w:right="1440" w:bottom="1440" w:left="1440" w:header="720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3143" w:rsidRDefault="007D3143" w14:paraId="746B606A" w14:textId="77777777">
      <w:pPr>
        <w:spacing w:before="0" w:after="0"/>
      </w:pPr>
      <w:r>
        <w:separator/>
      </w:r>
    </w:p>
  </w:endnote>
  <w:endnote w:type="continuationSeparator" w:id="0">
    <w:p w:rsidR="007D3143" w:rsidRDefault="007D3143" w14:paraId="0A66A8A1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3143" w:rsidRDefault="007D3143" w14:paraId="22B22B26" w14:textId="77777777">
      <w:pPr>
        <w:spacing w:before="0" w:after="0"/>
      </w:pPr>
      <w:r>
        <w:separator/>
      </w:r>
    </w:p>
  </w:footnote>
  <w:footnote w:type="continuationSeparator" w:id="0">
    <w:p w:rsidR="007D3143" w:rsidRDefault="007D3143" w14:paraId="09418601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74EC1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FFFFFF7C"/>
    <w:multiLevelType w:val="singleLevel"/>
    <w:tmpl w:val="AB184AD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AE0789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F4EA5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E140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7D215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6" w15:restartNumberingAfterBreak="0">
    <w:nsid w:val="FFFFFF81"/>
    <w:multiLevelType w:val="singleLevel"/>
    <w:tmpl w:val="74A08C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7" w15:restartNumberingAfterBreak="0">
    <w:nsid w:val="FFFFFF82"/>
    <w:multiLevelType w:val="singleLevel"/>
    <w:tmpl w:val="AF34E6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8" w15:restartNumberingAfterBreak="0">
    <w:nsid w:val="FFFFFF83"/>
    <w:multiLevelType w:val="singleLevel"/>
    <w:tmpl w:val="97BC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9" w15:restartNumberingAfterBreak="0">
    <w:nsid w:val="FFFFFF88"/>
    <w:multiLevelType w:val="singleLevel"/>
    <w:tmpl w:val="5F90A0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8F875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00852417"/>
    <w:multiLevelType w:val="hybridMultilevel"/>
    <w:tmpl w:val="8B6086F2"/>
    <w:lvl w:ilvl="0" w:tplc="348E9A32">
      <w:start w:val="1"/>
      <w:numFmt w:val="bullet"/>
      <w:pStyle w:val="sidebarbullets"/>
      <w:lvlText w:val="•"/>
      <w:lvlJc w:val="left"/>
      <w:pPr>
        <w:ind w:left="225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hint="default" w:ascii="Wingdings" w:hAnsi="Wingdings"/>
      </w:rPr>
    </w:lvl>
  </w:abstractNum>
  <w:abstractNum w:abstractNumId="12" w15:restartNumberingAfterBreak="0">
    <w:nsid w:val="104B3768"/>
    <w:multiLevelType w:val="hybridMultilevel"/>
    <w:tmpl w:val="29AE603E"/>
    <w:lvl w:ilvl="0" w:tplc="9E303850">
      <w:start w:val="1"/>
      <w:numFmt w:val="bullet"/>
      <w:pStyle w:val="tablebullets"/>
      <w:lvlText w:val="•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05257E5"/>
    <w:multiLevelType w:val="multilevel"/>
    <w:tmpl w:val="DC8C8D5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5946EB"/>
    <w:multiLevelType w:val="hybridMultilevel"/>
    <w:tmpl w:val="C0B43E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AD7AC8"/>
    <w:multiLevelType w:val="hybridMultilevel"/>
    <w:tmpl w:val="F4F88C82"/>
    <w:lvl w:ilvl="0" w:tplc="6DA2431C">
      <w:start w:val="1"/>
      <w:numFmt w:val="bullet"/>
      <w:pStyle w:val="ListParagraph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0655960">
    <w:abstractNumId w:val="11"/>
  </w:num>
  <w:num w:numId="2" w16cid:durableId="157619871">
    <w:abstractNumId w:val="14"/>
  </w:num>
  <w:num w:numId="3" w16cid:durableId="201289766">
    <w:abstractNumId w:val="12"/>
  </w:num>
  <w:num w:numId="4" w16cid:durableId="1508520084">
    <w:abstractNumId w:val="15"/>
  </w:num>
  <w:num w:numId="5" w16cid:durableId="1205601626">
    <w:abstractNumId w:val="10"/>
  </w:num>
  <w:num w:numId="6" w16cid:durableId="1016922391">
    <w:abstractNumId w:val="8"/>
  </w:num>
  <w:num w:numId="7" w16cid:durableId="1877162027">
    <w:abstractNumId w:val="7"/>
  </w:num>
  <w:num w:numId="8" w16cid:durableId="679938973">
    <w:abstractNumId w:val="6"/>
  </w:num>
  <w:num w:numId="9" w16cid:durableId="1436746587">
    <w:abstractNumId w:val="5"/>
  </w:num>
  <w:num w:numId="10" w16cid:durableId="591665498">
    <w:abstractNumId w:val="9"/>
  </w:num>
  <w:num w:numId="11" w16cid:durableId="58135260">
    <w:abstractNumId w:val="4"/>
  </w:num>
  <w:num w:numId="12" w16cid:durableId="1446533614">
    <w:abstractNumId w:val="3"/>
  </w:num>
  <w:num w:numId="13" w16cid:durableId="221984922">
    <w:abstractNumId w:val="2"/>
  </w:num>
  <w:num w:numId="14" w16cid:durableId="1090275055">
    <w:abstractNumId w:val="1"/>
  </w:num>
  <w:num w:numId="15" w16cid:durableId="1484350412">
    <w:abstractNumId w:val="0"/>
  </w:num>
  <w:num w:numId="16" w16cid:durableId="6698747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23"/>
    <w:rsid w:val="0002103B"/>
    <w:rsid w:val="000A1439"/>
    <w:rsid w:val="000A5AA5"/>
    <w:rsid w:val="000B148F"/>
    <w:rsid w:val="000B3CEB"/>
    <w:rsid w:val="000E0487"/>
    <w:rsid w:val="000E3DF2"/>
    <w:rsid w:val="000F0C90"/>
    <w:rsid w:val="00176FC4"/>
    <w:rsid w:val="00177C38"/>
    <w:rsid w:val="00193FAE"/>
    <w:rsid w:val="00195B94"/>
    <w:rsid w:val="001A5F91"/>
    <w:rsid w:val="00223583"/>
    <w:rsid w:val="00233C89"/>
    <w:rsid w:val="00265681"/>
    <w:rsid w:val="00284DE5"/>
    <w:rsid w:val="002B25B3"/>
    <w:rsid w:val="002F3A90"/>
    <w:rsid w:val="0032333F"/>
    <w:rsid w:val="003504B5"/>
    <w:rsid w:val="00436E88"/>
    <w:rsid w:val="00450BAC"/>
    <w:rsid w:val="004910A5"/>
    <w:rsid w:val="004C1F99"/>
    <w:rsid w:val="005003FA"/>
    <w:rsid w:val="00530DC3"/>
    <w:rsid w:val="00573D31"/>
    <w:rsid w:val="005909E2"/>
    <w:rsid w:val="005A5E51"/>
    <w:rsid w:val="0060684C"/>
    <w:rsid w:val="006B69FB"/>
    <w:rsid w:val="006F7889"/>
    <w:rsid w:val="00701822"/>
    <w:rsid w:val="0070343D"/>
    <w:rsid w:val="00711F8B"/>
    <w:rsid w:val="007143E4"/>
    <w:rsid w:val="00790385"/>
    <w:rsid w:val="00791A70"/>
    <w:rsid w:val="007D3143"/>
    <w:rsid w:val="007E5E0D"/>
    <w:rsid w:val="007F340D"/>
    <w:rsid w:val="008344B0"/>
    <w:rsid w:val="00852CBA"/>
    <w:rsid w:val="00861306"/>
    <w:rsid w:val="009A6D19"/>
    <w:rsid w:val="009E686B"/>
    <w:rsid w:val="00A073B1"/>
    <w:rsid w:val="00A34B23"/>
    <w:rsid w:val="00A37A76"/>
    <w:rsid w:val="00A44D70"/>
    <w:rsid w:val="00AC25FA"/>
    <w:rsid w:val="00AD7502"/>
    <w:rsid w:val="00AD7C7C"/>
    <w:rsid w:val="00AE334E"/>
    <w:rsid w:val="00AF3791"/>
    <w:rsid w:val="00B03BCA"/>
    <w:rsid w:val="00B05C64"/>
    <w:rsid w:val="00B16FB5"/>
    <w:rsid w:val="00B2273A"/>
    <w:rsid w:val="00B60ADB"/>
    <w:rsid w:val="00C26FD9"/>
    <w:rsid w:val="00CB0DFB"/>
    <w:rsid w:val="00CC4A4E"/>
    <w:rsid w:val="00CF4CC8"/>
    <w:rsid w:val="00D21901"/>
    <w:rsid w:val="00D31C7B"/>
    <w:rsid w:val="00D36D64"/>
    <w:rsid w:val="00D50015"/>
    <w:rsid w:val="00D7704B"/>
    <w:rsid w:val="00DC1D4D"/>
    <w:rsid w:val="00DF4322"/>
    <w:rsid w:val="00DF4FFB"/>
    <w:rsid w:val="00E14113"/>
    <w:rsid w:val="00E1565E"/>
    <w:rsid w:val="00E4133E"/>
    <w:rsid w:val="00E5253E"/>
    <w:rsid w:val="00EB6F99"/>
    <w:rsid w:val="00ED2B39"/>
    <w:rsid w:val="00F37EE1"/>
    <w:rsid w:val="00F874E1"/>
    <w:rsid w:val="00FF2A62"/>
    <w:rsid w:val="06759A46"/>
    <w:rsid w:val="07BBBA5A"/>
    <w:rsid w:val="2474F1D8"/>
    <w:rsid w:val="3251F375"/>
    <w:rsid w:val="3D8B59F4"/>
    <w:rsid w:val="43F2CC3B"/>
    <w:rsid w:val="4CA99E0B"/>
    <w:rsid w:val="556735E8"/>
    <w:rsid w:val="78D6D78E"/>
    <w:rsid w:val="7E099B0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9A2CF6"/>
  <w15:docId w15:val="{EC542FDE-64B0-4BF0-97E3-56273786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50015"/>
    <w:pPr>
      <w:spacing w:before="40"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rsid w:val="00177C38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AD7C7C"/>
    <w:pPr>
      <w:keepNext/>
      <w:keepLines/>
      <w:spacing w:after="40"/>
      <w:outlineLvl w:val="3"/>
    </w:pPr>
    <w:rPr>
      <w:rFonts w:ascii="Arial" w:hAnsi="Arial" w:eastAsiaTheme="majorEastAsia" w:cstheme="majorBidi"/>
      <w:b/>
      <w:bCs/>
      <w:iCs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1439"/>
    <w:pPr>
      <w:tabs>
        <w:tab w:val="center" w:pos="4320"/>
        <w:tab w:val="right" w:pos="864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0A1439"/>
    <w:rPr>
      <w:rFonts w:asciiTheme="majorHAnsi" w:hAnsiTheme="maj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F2A62"/>
    <w:pPr>
      <w:pBdr>
        <w:top w:val="single" w:color="1F497D" w:sz="4" w:space="1"/>
      </w:pBdr>
      <w:tabs>
        <w:tab w:val="center" w:pos="4320"/>
        <w:tab w:val="right" w:pos="9360"/>
      </w:tabs>
      <w:spacing w:before="0" w:after="0"/>
    </w:pPr>
    <w:rPr>
      <w:rFonts w:ascii="Arial Narrow" w:hAnsi="Arial Narrow" w:eastAsia="Times" w:cs="Times New Roman"/>
      <w:color w:val="1F497D"/>
      <w:sz w:val="24"/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FF2A62"/>
    <w:rPr>
      <w:rFonts w:ascii="Arial Narrow" w:hAnsi="Arial Narrow" w:eastAsia="Times" w:cs="Times New Roman"/>
      <w:color w:val="1F497D"/>
      <w:szCs w:val="20"/>
    </w:rPr>
  </w:style>
  <w:style w:type="character" w:styleId="Heading4Char" w:customStyle="1">
    <w:name w:val="Heading 4 Char"/>
    <w:basedOn w:val="DefaultParagraphFont"/>
    <w:link w:val="Heading4"/>
    <w:rsid w:val="00AD7C7C"/>
    <w:rPr>
      <w:rFonts w:ascii="Arial" w:hAnsi="Arial" w:eastAsiaTheme="majorEastAsia" w:cstheme="majorBidi"/>
      <w:b/>
      <w:bCs/>
      <w:iCs/>
      <w:sz w:val="22"/>
    </w:rPr>
  </w:style>
  <w:style w:type="table" w:styleId="TableGrid">
    <w:name w:val="Table Grid"/>
    <w:basedOn w:val="TableNormal"/>
    <w:rsid w:val="00AD7C7C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ablebody" w:customStyle="1">
    <w:name w:val="_table body"/>
    <w:basedOn w:val="Normal"/>
    <w:qFormat/>
    <w:rsid w:val="00E5253E"/>
    <w:pPr>
      <w:spacing w:before="80" w:after="80"/>
    </w:pPr>
    <w:rPr>
      <w:rFonts w:ascii="Arial Narrow" w:hAnsi="Arial Narrow"/>
    </w:rPr>
  </w:style>
  <w:style w:type="paragraph" w:styleId="TOC1">
    <w:name w:val="toc 1"/>
    <w:basedOn w:val="Normal"/>
    <w:next w:val="Normal"/>
    <w:autoRedefine/>
    <w:uiPriority w:val="39"/>
    <w:rsid w:val="00852CBA"/>
    <w:pPr>
      <w:tabs>
        <w:tab w:val="right" w:leader="dot" w:pos="9360"/>
      </w:tabs>
      <w:spacing w:before="240" w:after="120"/>
    </w:pPr>
    <w:rPr>
      <w:rFonts w:ascii="Arial Narrow" w:hAnsi="Arial Narrow"/>
      <w:b/>
      <w:caps/>
    </w:rPr>
  </w:style>
  <w:style w:type="paragraph" w:styleId="TOC2">
    <w:name w:val="toc 2"/>
    <w:basedOn w:val="Normal"/>
    <w:next w:val="Normal"/>
    <w:autoRedefine/>
    <w:uiPriority w:val="39"/>
    <w:rsid w:val="00852CBA"/>
    <w:pPr>
      <w:tabs>
        <w:tab w:val="right" w:leader="dot" w:pos="9350"/>
      </w:tabs>
      <w:spacing w:before="80" w:after="40"/>
      <w:ind w:left="216"/>
    </w:pPr>
    <w:rPr>
      <w:sz w:val="24"/>
    </w:rPr>
  </w:style>
  <w:style w:type="paragraph" w:styleId="Heading10" w:customStyle="1">
    <w:name w:val="_Heading 1"/>
    <w:basedOn w:val="Normal"/>
    <w:next w:val="Normal"/>
    <w:qFormat/>
    <w:rsid w:val="005003FA"/>
    <w:pPr>
      <w:keepNext/>
      <w:keepLines/>
      <w:spacing w:before="480" w:after="0"/>
      <w:outlineLvl w:val="0"/>
    </w:pPr>
    <w:rPr>
      <w:rFonts w:ascii="Arial" w:hAnsi="Arial"/>
      <w:b/>
      <w:color w:val="3B5E7F"/>
      <w:sz w:val="28"/>
    </w:rPr>
  </w:style>
  <w:style w:type="paragraph" w:styleId="ExecSummary" w:customStyle="1">
    <w:name w:val="_ExecSummary"/>
    <w:basedOn w:val="Normal"/>
    <w:qFormat/>
    <w:rsid w:val="0070343D"/>
    <w:pPr>
      <w:spacing w:before="200" w:after="40"/>
    </w:pPr>
    <w:rPr>
      <w:rFonts w:ascii="Cambria" w:hAnsi="Cambria"/>
    </w:rPr>
  </w:style>
  <w:style w:type="paragraph" w:styleId="TOC3">
    <w:name w:val="toc 3"/>
    <w:basedOn w:val="Normal"/>
    <w:next w:val="Normal"/>
    <w:autoRedefine/>
    <w:uiPriority w:val="39"/>
    <w:unhideWhenUsed/>
    <w:rsid w:val="00B60ADB"/>
    <w:pPr>
      <w:tabs>
        <w:tab w:val="right" w:leader="dot" w:pos="9350"/>
      </w:tabs>
      <w:spacing w:before="80" w:after="160"/>
      <w:ind w:left="720"/>
    </w:pPr>
    <w:rPr>
      <w:i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14113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14113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14113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14113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14113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14113"/>
    <w:pPr>
      <w:ind w:left="1760"/>
    </w:pPr>
  </w:style>
  <w:style w:type="character" w:styleId="PageNumber">
    <w:name w:val="page number"/>
    <w:basedOn w:val="DefaultParagraphFont"/>
    <w:uiPriority w:val="99"/>
    <w:semiHidden/>
    <w:unhideWhenUsed/>
    <w:rsid w:val="00D21901"/>
  </w:style>
  <w:style w:type="paragraph" w:styleId="Header0" w:customStyle="1">
    <w:name w:val="_Header"/>
    <w:basedOn w:val="Normal"/>
    <w:qFormat/>
    <w:rsid w:val="002F3A90"/>
    <w:pPr>
      <w:shd w:val="clear" w:color="auto" w:fill="AEBEC1"/>
      <w:jc w:val="center"/>
    </w:pPr>
    <w:rPr>
      <w:rFonts w:ascii="Arial Narrow" w:hAnsi="Arial Narrow"/>
      <w:smallCaps/>
      <w:color w:val="FFFFFF" w:themeColor="background1"/>
      <w:spacing w:val="20"/>
      <w:sz w:val="20"/>
    </w:rPr>
  </w:style>
  <w:style w:type="paragraph" w:styleId="Heading2" w:customStyle="1">
    <w:name w:val="_Heading 2"/>
    <w:basedOn w:val="Normal"/>
    <w:next w:val="Normal"/>
    <w:qFormat/>
    <w:rsid w:val="00D7704B"/>
    <w:pPr>
      <w:keepNext/>
      <w:keepLines/>
      <w:spacing w:before="200" w:after="60"/>
      <w:ind w:left="432" w:hanging="432"/>
      <w:outlineLvl w:val="1"/>
    </w:pPr>
    <w:rPr>
      <w:rFonts w:ascii="Helvetica" w:hAnsi="Helvetica"/>
      <w:b/>
      <w:color w:val="1F497D"/>
      <w:sz w:val="24"/>
    </w:rPr>
  </w:style>
  <w:style w:type="paragraph" w:styleId="sidebartext" w:customStyle="1">
    <w:name w:val="_sidebar text"/>
    <w:basedOn w:val="Normal"/>
    <w:qFormat/>
    <w:rsid w:val="00D50015"/>
    <w:pPr>
      <w:spacing w:before="60" w:after="60" w:line="260" w:lineRule="exact"/>
    </w:pPr>
    <w:rPr>
      <w:rFonts w:ascii="Arial Narrow" w:hAnsi="Arial Narrow"/>
    </w:rPr>
  </w:style>
  <w:style w:type="paragraph" w:styleId="sidebarbullets" w:customStyle="1">
    <w:name w:val="_sidebar bullets"/>
    <w:basedOn w:val="sidebartext"/>
    <w:qFormat/>
    <w:rsid w:val="00D50015"/>
    <w:pPr>
      <w:numPr>
        <w:numId w:val="1"/>
      </w:numPr>
      <w:tabs>
        <w:tab w:val="left" w:pos="360"/>
      </w:tabs>
      <w:ind w:left="180" w:hanging="180"/>
    </w:pPr>
  </w:style>
  <w:style w:type="paragraph" w:styleId="sidebarhead" w:customStyle="1">
    <w:name w:val="_sidebar head"/>
    <w:basedOn w:val="Normal"/>
    <w:next w:val="sidebartext"/>
    <w:qFormat/>
    <w:rsid w:val="00D50015"/>
    <w:pPr>
      <w:spacing w:before="80" w:after="80"/>
      <w:jc w:val="center"/>
    </w:pPr>
    <w:rPr>
      <w:rFonts w:ascii="Arial Narrow" w:hAnsi="Arial Narrow" w:eastAsia="Times New Roman" w:cs="Times New Roman"/>
      <w:b/>
      <w:sz w:val="24"/>
      <w:szCs w:val="20"/>
    </w:rPr>
  </w:style>
  <w:style w:type="paragraph" w:styleId="tablehead" w:customStyle="1">
    <w:name w:val="_table head"/>
    <w:basedOn w:val="Normal"/>
    <w:qFormat/>
    <w:rsid w:val="00AC25FA"/>
    <w:pPr>
      <w:spacing w:before="60" w:after="60"/>
      <w:jc w:val="center"/>
    </w:pPr>
    <w:rPr>
      <w:rFonts w:ascii="Arial Narrow" w:hAnsi="Arial Narrow" w:eastAsia="Times New Roman" w:cs="Times New Roman"/>
      <w:b/>
      <w:szCs w:val="20"/>
    </w:rPr>
  </w:style>
  <w:style w:type="paragraph" w:styleId="tablecaption" w:customStyle="1">
    <w:name w:val="_table caption"/>
    <w:basedOn w:val="Normal"/>
    <w:qFormat/>
    <w:rsid w:val="00AC25FA"/>
    <w:pPr>
      <w:keepNext/>
      <w:keepLines/>
      <w:spacing w:before="360" w:after="60" w:line="240" w:lineRule="exact"/>
    </w:pPr>
    <w:rPr>
      <w:rFonts w:ascii="Arial Narrow" w:hAnsi="Arial Narrow"/>
      <w:b/>
    </w:rPr>
  </w:style>
  <w:style w:type="paragraph" w:styleId="figurecaption" w:customStyle="1">
    <w:name w:val="_figure caption"/>
    <w:basedOn w:val="Normal"/>
    <w:qFormat/>
    <w:rsid w:val="00AC25FA"/>
    <w:pPr>
      <w:spacing w:before="0" w:line="220" w:lineRule="exact"/>
    </w:pPr>
    <w:rPr>
      <w:rFonts w:ascii="Arial Narrow" w:hAnsi="Arial Narrow"/>
      <w:sz w:val="20"/>
    </w:rPr>
  </w:style>
  <w:style w:type="paragraph" w:styleId="tablebullets" w:customStyle="1">
    <w:name w:val="_table bullets"/>
    <w:basedOn w:val="Normal"/>
    <w:qFormat/>
    <w:rsid w:val="00AC25FA"/>
    <w:pPr>
      <w:numPr>
        <w:numId w:val="3"/>
      </w:numPr>
      <w:tabs>
        <w:tab w:val="left" w:pos="720"/>
      </w:tabs>
      <w:spacing w:after="40" w:line="260" w:lineRule="exact"/>
      <w:ind w:left="252" w:hanging="252"/>
    </w:pPr>
    <w:rPr>
      <w:rFonts w:ascii="Arial Narrow" w:hAnsi="Arial Narrow" w:eastAsia="Times New Roman" w:cs="Times New Roman"/>
      <w:szCs w:val="20"/>
    </w:rPr>
  </w:style>
  <w:style w:type="paragraph" w:styleId="indenttext" w:customStyle="1">
    <w:name w:val="_indent_text"/>
    <w:basedOn w:val="Normal"/>
    <w:rsid w:val="00AE334E"/>
    <w:pPr>
      <w:widowControl w:val="0"/>
      <w:spacing w:before="120" w:after="120" w:line="280" w:lineRule="atLeast"/>
      <w:ind w:left="360"/>
    </w:pPr>
    <w:rPr>
      <w:rFonts w:ascii="Times New Roman" w:hAnsi="Times New Roman" w:eastAsia="Times New Roman" w:cs="Times New Roman"/>
      <w:sz w:val="24"/>
      <w:szCs w:val="20"/>
    </w:rPr>
  </w:style>
  <w:style w:type="paragraph" w:styleId="pubsindent" w:customStyle="1">
    <w:name w:val="_pubs_indent"/>
    <w:basedOn w:val="indenttext"/>
    <w:rsid w:val="00AE334E"/>
    <w:pPr>
      <w:ind w:left="720" w:hanging="360"/>
    </w:pPr>
  </w:style>
  <w:style w:type="paragraph" w:styleId="Heading3" w:customStyle="1">
    <w:name w:val="_Heading 3"/>
    <w:basedOn w:val="Normal"/>
    <w:qFormat/>
    <w:rsid w:val="009E686B"/>
    <w:pPr>
      <w:spacing w:before="200" w:after="60"/>
    </w:pPr>
    <w:rPr>
      <w:b/>
      <w:i/>
    </w:rPr>
  </w:style>
  <w:style w:type="character" w:styleId="Heading1Char" w:customStyle="1">
    <w:name w:val="Heading 1 Char"/>
    <w:basedOn w:val="DefaultParagraphFont"/>
    <w:link w:val="Heading1"/>
    <w:rsid w:val="00177C38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P-title" w:customStyle="1">
    <w:name w:val="P-title"/>
    <w:basedOn w:val="Normal"/>
    <w:qFormat/>
    <w:rsid w:val="00AD7502"/>
    <w:pPr>
      <w:spacing w:before="240" w:after="240"/>
    </w:pPr>
    <w:rPr>
      <w:smallCaps/>
      <w:color w:val="446890"/>
      <w:sz w:val="56"/>
      <w:szCs w:val="56"/>
    </w:rPr>
  </w:style>
  <w:style w:type="paragraph" w:styleId="BalloonText">
    <w:name w:val="Balloon Text"/>
    <w:basedOn w:val="Normal"/>
    <w:link w:val="BalloonTextChar"/>
    <w:rsid w:val="00265681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rsid w:val="00265681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rsid w:val="00CB0DFB"/>
    <w:pPr>
      <w:numPr>
        <w:numId w:val="4"/>
      </w:numPr>
      <w:spacing w:after="160"/>
      <w:contextualSpacing/>
    </w:pPr>
  </w:style>
  <w:style w:type="paragraph" w:styleId="DocumentMap">
    <w:name w:val="Document Map"/>
    <w:basedOn w:val="Normal"/>
    <w:link w:val="DocumentMapChar"/>
    <w:rsid w:val="00DC1D4D"/>
    <w:pPr>
      <w:spacing w:before="0" w:after="0"/>
    </w:pPr>
    <w:rPr>
      <w:rFonts w:ascii="Lucida Grande" w:hAnsi="Lucida Grande" w:cs="Lucida Grande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rsid w:val="00DC1D4D"/>
    <w:rPr>
      <w:rFonts w:ascii="Lucida Grande" w:hAnsi="Lucida Grande" w:cs="Lucida Grande"/>
    </w:rPr>
  </w:style>
  <w:style w:type="character" w:styleId="Hyperlink">
    <w:name w:val="Hyperlink"/>
    <w:basedOn w:val="DefaultParagraphFont"/>
    <w:rsid w:val="004910A5"/>
    <w:rPr>
      <w:color w:val="0000FF" w:themeColor="hyperlink"/>
      <w:u w:val="single"/>
    </w:rPr>
  </w:style>
  <w:style w:type="character" w:styleId="TablesHeadings" w:customStyle="1">
    <w:name w:val="Tables Headings"/>
    <w:basedOn w:val="DefaultParagraphFont"/>
    <w:uiPriority w:val="1"/>
    <w:rsid w:val="003504B5"/>
    <w:rPr>
      <w:rFonts w:cs="Times New Roman" w:asciiTheme="minorHAnsi" w:hAnsiTheme="minorHAnsi"/>
      <w:b/>
      <w:color w:val="FFFFFF" w:themeColor="background1"/>
      <w:sz w:val="22"/>
    </w:r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LLNL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Proposal Title</dc:title>
  <dc:subject/>
  <dc:creator>Stephanie Shang</dc:creator>
  <keywords/>
  <lastModifiedBy>Nikl, Jan</lastModifiedBy>
  <revision>7</revision>
  <lastPrinted>2011-03-23T20:27:00.0000000Z</lastPrinted>
  <dcterms:created xsi:type="dcterms:W3CDTF">2022-12-06T19:06:00.0000000Z</dcterms:created>
  <dcterms:modified xsi:type="dcterms:W3CDTF">2026-04-13T18:23:15.0858601Z</dcterms:modified>
</coreProperties>
</file>