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9D9E" w14:textId="77777777" w:rsidR="00143A30" w:rsidRDefault="00155507" w:rsidP="001870F6">
      <w:pPr>
        <w:pStyle w:val="Heading2"/>
        <w:spacing w:before="0"/>
        <w:ind w:left="0"/>
      </w:pPr>
      <w:bookmarkStart w:id="0" w:name="Tadashi_LAB_19-2040_BudgetJust_LLNL_2.18"/>
      <w:bookmarkEnd w:id="0"/>
      <w:r>
        <w:rPr>
          <w:color w:val="1F497D"/>
        </w:rPr>
        <w:t>BUDGET JUSTIFICATION</w:t>
      </w:r>
    </w:p>
    <w:p w14:paraId="2EC48992" w14:textId="3BABD811" w:rsidR="00143A30" w:rsidRDefault="41E1AD0F" w:rsidP="003C117D">
      <w:pPr>
        <w:pStyle w:val="Heading3"/>
        <w:jc w:val="center"/>
      </w:pPr>
      <w:r>
        <w:t>Lawrence Livermor</w:t>
      </w:r>
      <w:r w:rsidR="00E35AFE">
        <w:t>e</w:t>
      </w:r>
      <w:r w:rsidR="2FFA3CE0">
        <w:t xml:space="preserve"> National Laboratory</w:t>
      </w:r>
    </w:p>
    <w:p w14:paraId="44DE7158" w14:textId="7674EE25" w:rsidR="00143A30" w:rsidRDefault="00155507" w:rsidP="0040645D">
      <w:pPr>
        <w:pStyle w:val="ListParagraph"/>
      </w:pPr>
      <w:r w:rsidRPr="0040645D">
        <w:t>Senior/Key Person</w:t>
      </w:r>
      <w:r w:rsidR="00D85E1F" w:rsidRPr="0040645D">
        <w:t xml:space="preserve"> </w:t>
      </w:r>
    </w:p>
    <w:tbl>
      <w:tblPr>
        <w:tblStyle w:val="GridTable1Light-Accent11"/>
        <w:tblW w:w="9445" w:type="dxa"/>
        <w:jc w:val="center"/>
        <w:tblLook w:val="0420" w:firstRow="1" w:lastRow="0" w:firstColumn="0" w:lastColumn="0" w:noHBand="0" w:noVBand="1"/>
      </w:tblPr>
      <w:tblGrid>
        <w:gridCol w:w="2785"/>
        <w:gridCol w:w="3060"/>
        <w:gridCol w:w="1710"/>
        <w:gridCol w:w="1890"/>
      </w:tblGrid>
      <w:tr w:rsidR="003A0CC1" w:rsidRPr="008F65C9" w14:paraId="1BB321E2" w14:textId="77777777" w:rsidTr="003A0CC1">
        <w:trPr>
          <w:cnfStyle w:val="100000000000" w:firstRow="1" w:lastRow="0" w:firstColumn="0" w:lastColumn="0" w:oddVBand="0" w:evenVBand="0" w:oddHBand="0" w:evenHBand="0" w:firstRowFirstColumn="0" w:firstRowLastColumn="0" w:lastRowFirstColumn="0" w:lastRowLastColumn="0"/>
          <w:trHeight w:val="490"/>
          <w:jc w:val="center"/>
        </w:trPr>
        <w:tc>
          <w:tcPr>
            <w:tcW w:w="2785" w:type="dxa"/>
            <w:shd w:val="clear" w:color="auto" w:fill="D9D9D9"/>
            <w:hideMark/>
          </w:tcPr>
          <w:p w14:paraId="51EF600E" w14:textId="77777777" w:rsidR="003A0CC1" w:rsidRPr="008F65C9" w:rsidRDefault="003A0CC1" w:rsidP="003A0CC1">
            <w:pPr>
              <w:spacing w:before="40" w:after="40"/>
              <w:ind w:left="-14" w:hanging="7"/>
              <w:rPr>
                <w:rFonts w:cs="Times New Roman"/>
                <w:color w:val="404040"/>
              </w:rPr>
            </w:pPr>
            <w:r w:rsidRPr="008F65C9">
              <w:rPr>
                <w:rFonts w:cs="Times New Roman"/>
                <w:color w:val="404040"/>
              </w:rPr>
              <w:t>Name</w:t>
            </w:r>
          </w:p>
        </w:tc>
        <w:tc>
          <w:tcPr>
            <w:tcW w:w="3060" w:type="dxa"/>
            <w:shd w:val="clear" w:color="auto" w:fill="D9D9D9"/>
            <w:hideMark/>
          </w:tcPr>
          <w:p w14:paraId="6744E488" w14:textId="77777777" w:rsidR="003A0CC1" w:rsidRPr="008F65C9" w:rsidRDefault="003A0CC1" w:rsidP="003A0CC1">
            <w:pPr>
              <w:spacing w:before="40" w:after="40"/>
              <w:ind w:left="-14" w:hanging="7"/>
              <w:rPr>
                <w:rFonts w:cs="Times New Roman"/>
                <w:color w:val="404040"/>
              </w:rPr>
            </w:pPr>
            <w:r w:rsidRPr="008F65C9">
              <w:rPr>
                <w:rFonts w:cs="Times New Roman"/>
                <w:color w:val="404040"/>
              </w:rPr>
              <w:t>Project Role and Responsibility</w:t>
            </w:r>
          </w:p>
        </w:tc>
        <w:tc>
          <w:tcPr>
            <w:tcW w:w="1710" w:type="dxa"/>
            <w:shd w:val="clear" w:color="auto" w:fill="D9D9D9"/>
          </w:tcPr>
          <w:p w14:paraId="59002160" w14:textId="77777777" w:rsidR="003A0CC1" w:rsidRPr="008F65C9" w:rsidRDefault="003A0CC1" w:rsidP="003A0CC1">
            <w:pPr>
              <w:spacing w:before="40" w:after="40"/>
              <w:ind w:left="-14" w:hanging="7"/>
              <w:rPr>
                <w:rFonts w:cs="Times New Roman"/>
                <w:color w:val="404040"/>
              </w:rPr>
            </w:pPr>
            <w:r w:rsidRPr="008F65C9">
              <w:rPr>
                <w:rFonts w:cs="Times New Roman"/>
                <w:color w:val="404040"/>
              </w:rPr>
              <w:t>Calendar Months</w:t>
            </w:r>
          </w:p>
        </w:tc>
        <w:tc>
          <w:tcPr>
            <w:tcW w:w="1890" w:type="dxa"/>
            <w:shd w:val="clear" w:color="auto" w:fill="D9D9D9"/>
            <w:hideMark/>
          </w:tcPr>
          <w:p w14:paraId="750D5642" w14:textId="77777777" w:rsidR="003A0CC1" w:rsidRPr="008F65C9" w:rsidRDefault="003A0CC1" w:rsidP="003A0CC1">
            <w:pPr>
              <w:spacing w:before="40" w:after="40"/>
              <w:ind w:left="-14" w:hanging="7"/>
              <w:rPr>
                <w:rFonts w:cs="Times New Roman"/>
                <w:color w:val="404040"/>
              </w:rPr>
            </w:pPr>
            <w:r>
              <w:rPr>
                <w:rFonts w:cs="Times New Roman"/>
                <w:color w:val="404040"/>
              </w:rPr>
              <w:t>Salary Funds</w:t>
            </w:r>
          </w:p>
        </w:tc>
      </w:tr>
      <w:tr w:rsidR="003A0CC1" w:rsidRPr="008F65C9" w14:paraId="5D984453" w14:textId="77777777" w:rsidTr="003A0CC1">
        <w:trPr>
          <w:trHeight w:val="521"/>
          <w:jc w:val="center"/>
        </w:trPr>
        <w:tc>
          <w:tcPr>
            <w:tcW w:w="2785" w:type="dxa"/>
            <w:hideMark/>
          </w:tcPr>
          <w:p w14:paraId="422790FA" w14:textId="64E5433A" w:rsidR="003A0CC1" w:rsidRPr="008F65C9" w:rsidRDefault="000C52B7" w:rsidP="003A0CC1">
            <w:pPr>
              <w:spacing w:before="80" w:after="80"/>
              <w:rPr>
                <w:rFonts w:cs="Times New Roman"/>
                <w:sz w:val="24"/>
                <w:szCs w:val="24"/>
              </w:rPr>
            </w:pPr>
            <w:r>
              <w:rPr>
                <w:rFonts w:cs="Times New Roman"/>
                <w:sz w:val="24"/>
                <w:szCs w:val="24"/>
              </w:rPr>
              <w:t>Lead PI</w:t>
            </w:r>
          </w:p>
        </w:tc>
        <w:tc>
          <w:tcPr>
            <w:tcW w:w="3060" w:type="dxa"/>
            <w:hideMark/>
          </w:tcPr>
          <w:p w14:paraId="02F1914E" w14:textId="59F36A5C" w:rsidR="003A0CC1" w:rsidRPr="008F65C9" w:rsidRDefault="000C52B7" w:rsidP="003A0CC1">
            <w:pPr>
              <w:spacing w:before="80" w:after="80"/>
              <w:rPr>
                <w:rFonts w:cs="Times New Roman"/>
                <w:sz w:val="24"/>
                <w:szCs w:val="24"/>
              </w:rPr>
            </w:pPr>
            <w:r>
              <w:rPr>
                <w:rFonts w:cs="Times New Roman"/>
                <w:sz w:val="24"/>
                <w:szCs w:val="24"/>
              </w:rPr>
              <w:t>Lead PI</w:t>
            </w:r>
          </w:p>
        </w:tc>
        <w:tc>
          <w:tcPr>
            <w:tcW w:w="1710" w:type="dxa"/>
          </w:tcPr>
          <w:p w14:paraId="085FFF95" w14:textId="36849FA7" w:rsidR="003A0CC1" w:rsidRPr="008F65C9" w:rsidRDefault="000C52B7" w:rsidP="003A0CC1">
            <w:pPr>
              <w:spacing w:before="80" w:after="80"/>
              <w:rPr>
                <w:rFonts w:cs="Times New Roman"/>
                <w:sz w:val="24"/>
                <w:szCs w:val="24"/>
              </w:rPr>
            </w:pPr>
            <w:r>
              <w:rPr>
                <w:rFonts w:cs="Times New Roman"/>
                <w:sz w:val="24"/>
                <w:szCs w:val="24"/>
              </w:rPr>
              <w:t>9</w:t>
            </w:r>
          </w:p>
        </w:tc>
        <w:tc>
          <w:tcPr>
            <w:tcW w:w="1890" w:type="dxa"/>
            <w:hideMark/>
          </w:tcPr>
          <w:p w14:paraId="65DCAAFB" w14:textId="42B94153" w:rsidR="003A0CC1" w:rsidRPr="008F65C9" w:rsidRDefault="000C52B7" w:rsidP="003A0CC1">
            <w:pPr>
              <w:spacing w:before="80" w:after="80"/>
              <w:rPr>
                <w:rFonts w:cs="Times New Roman"/>
                <w:sz w:val="24"/>
                <w:szCs w:val="24"/>
              </w:rPr>
            </w:pPr>
            <w:r>
              <w:rPr>
                <w:rFonts w:cs="Times New Roman"/>
                <w:sz w:val="24"/>
                <w:szCs w:val="24"/>
              </w:rPr>
              <w:t>$16,679</w:t>
            </w:r>
          </w:p>
        </w:tc>
      </w:tr>
      <w:tr w:rsidR="003A0CC1" w:rsidRPr="008F65C9" w14:paraId="7E05854D" w14:textId="77777777" w:rsidTr="003A0CC1">
        <w:trPr>
          <w:trHeight w:val="521"/>
          <w:jc w:val="center"/>
        </w:trPr>
        <w:tc>
          <w:tcPr>
            <w:tcW w:w="2785" w:type="dxa"/>
            <w:hideMark/>
          </w:tcPr>
          <w:p w14:paraId="35821D50" w14:textId="2A645EC9" w:rsidR="003A0CC1" w:rsidRPr="008F65C9" w:rsidRDefault="000C52B7" w:rsidP="003A0CC1">
            <w:pPr>
              <w:spacing w:before="80" w:after="80"/>
              <w:rPr>
                <w:rFonts w:cs="Times New Roman"/>
                <w:sz w:val="24"/>
                <w:szCs w:val="24"/>
              </w:rPr>
            </w:pPr>
            <w:r>
              <w:rPr>
                <w:rFonts w:cs="Times New Roman"/>
                <w:sz w:val="24"/>
                <w:szCs w:val="24"/>
              </w:rPr>
              <w:t>Computing Scientist</w:t>
            </w:r>
          </w:p>
        </w:tc>
        <w:tc>
          <w:tcPr>
            <w:tcW w:w="3060" w:type="dxa"/>
            <w:hideMark/>
          </w:tcPr>
          <w:p w14:paraId="5BAB54E3" w14:textId="18AFB790" w:rsidR="003A0CC1" w:rsidRPr="008F65C9" w:rsidRDefault="000C52B7" w:rsidP="003A0CC1">
            <w:pPr>
              <w:spacing w:before="80" w:after="80"/>
              <w:rPr>
                <w:rFonts w:cs="Times New Roman"/>
                <w:sz w:val="24"/>
                <w:szCs w:val="24"/>
              </w:rPr>
            </w:pPr>
            <w:r>
              <w:rPr>
                <w:rFonts w:cs="Times New Roman"/>
                <w:sz w:val="24"/>
                <w:szCs w:val="24"/>
              </w:rPr>
              <w:t>Computing Scientist</w:t>
            </w:r>
          </w:p>
        </w:tc>
        <w:tc>
          <w:tcPr>
            <w:tcW w:w="1710" w:type="dxa"/>
          </w:tcPr>
          <w:p w14:paraId="56E4659A" w14:textId="2821DF6A" w:rsidR="003A0CC1" w:rsidRPr="008F65C9" w:rsidRDefault="000C52B7" w:rsidP="003A0CC1">
            <w:pPr>
              <w:spacing w:before="80" w:after="80"/>
              <w:rPr>
                <w:rFonts w:cs="Times New Roman"/>
                <w:sz w:val="24"/>
                <w:szCs w:val="24"/>
              </w:rPr>
            </w:pPr>
            <w:r>
              <w:rPr>
                <w:rFonts w:cs="Times New Roman"/>
                <w:sz w:val="24"/>
                <w:szCs w:val="24"/>
              </w:rPr>
              <w:t>9</w:t>
            </w:r>
          </w:p>
        </w:tc>
        <w:tc>
          <w:tcPr>
            <w:tcW w:w="1890" w:type="dxa"/>
            <w:hideMark/>
          </w:tcPr>
          <w:p w14:paraId="131A9652" w14:textId="29CE5613" w:rsidR="003A0CC1" w:rsidRPr="008F65C9" w:rsidRDefault="000C52B7" w:rsidP="003A0CC1">
            <w:pPr>
              <w:spacing w:before="80" w:after="80"/>
              <w:rPr>
                <w:rFonts w:cs="Times New Roman"/>
                <w:sz w:val="24"/>
                <w:szCs w:val="24"/>
              </w:rPr>
            </w:pPr>
            <w:r>
              <w:rPr>
                <w:rFonts w:cs="Times New Roman"/>
                <w:sz w:val="24"/>
                <w:szCs w:val="24"/>
              </w:rPr>
              <w:t>$78,944</w:t>
            </w:r>
          </w:p>
        </w:tc>
      </w:tr>
      <w:tr w:rsidR="003A0CC1" w:rsidRPr="008F65C9" w14:paraId="00B4086D" w14:textId="77777777" w:rsidTr="003A0CC1">
        <w:trPr>
          <w:trHeight w:val="521"/>
          <w:jc w:val="center"/>
        </w:trPr>
        <w:tc>
          <w:tcPr>
            <w:tcW w:w="2785" w:type="dxa"/>
          </w:tcPr>
          <w:p w14:paraId="34D7E00C" w14:textId="77777777" w:rsidR="003A0CC1" w:rsidRPr="008F65C9" w:rsidRDefault="003A0CC1" w:rsidP="003A0CC1">
            <w:pPr>
              <w:spacing w:before="80" w:after="80"/>
              <w:rPr>
                <w:rFonts w:cs="Times New Roman"/>
                <w:sz w:val="24"/>
                <w:szCs w:val="24"/>
              </w:rPr>
            </w:pPr>
          </w:p>
        </w:tc>
        <w:tc>
          <w:tcPr>
            <w:tcW w:w="3060" w:type="dxa"/>
          </w:tcPr>
          <w:p w14:paraId="58BAF69D" w14:textId="77777777" w:rsidR="003A0CC1" w:rsidRPr="008F65C9" w:rsidRDefault="003A0CC1" w:rsidP="003A0CC1">
            <w:pPr>
              <w:spacing w:before="80" w:after="80"/>
              <w:rPr>
                <w:rFonts w:cs="Times New Roman"/>
                <w:sz w:val="24"/>
                <w:szCs w:val="24"/>
              </w:rPr>
            </w:pPr>
          </w:p>
        </w:tc>
        <w:tc>
          <w:tcPr>
            <w:tcW w:w="1710" w:type="dxa"/>
          </w:tcPr>
          <w:p w14:paraId="1793BF1A" w14:textId="77777777" w:rsidR="003A0CC1" w:rsidRPr="008F65C9" w:rsidRDefault="003A0CC1" w:rsidP="003A0CC1">
            <w:pPr>
              <w:spacing w:before="80" w:after="80"/>
              <w:rPr>
                <w:rFonts w:cs="Times New Roman"/>
                <w:sz w:val="24"/>
                <w:szCs w:val="24"/>
              </w:rPr>
            </w:pPr>
          </w:p>
        </w:tc>
        <w:tc>
          <w:tcPr>
            <w:tcW w:w="1890" w:type="dxa"/>
          </w:tcPr>
          <w:p w14:paraId="1A1708A9" w14:textId="77777777" w:rsidR="003A0CC1" w:rsidRPr="008F65C9" w:rsidRDefault="003A0CC1" w:rsidP="003A0CC1">
            <w:pPr>
              <w:spacing w:before="80" w:after="80"/>
              <w:rPr>
                <w:rFonts w:cs="Times New Roman"/>
                <w:sz w:val="24"/>
                <w:szCs w:val="24"/>
              </w:rPr>
            </w:pPr>
          </w:p>
        </w:tc>
      </w:tr>
      <w:tr w:rsidR="003A0CC1" w:rsidRPr="008F65C9" w14:paraId="315D7AC5" w14:textId="77777777" w:rsidTr="003A0CC1">
        <w:trPr>
          <w:trHeight w:val="521"/>
          <w:jc w:val="center"/>
        </w:trPr>
        <w:tc>
          <w:tcPr>
            <w:tcW w:w="2785" w:type="dxa"/>
          </w:tcPr>
          <w:p w14:paraId="15B3E696" w14:textId="77777777" w:rsidR="003A0CC1" w:rsidRPr="008F65C9" w:rsidRDefault="003A0CC1" w:rsidP="003A0CC1">
            <w:pPr>
              <w:spacing w:before="80" w:after="80"/>
              <w:rPr>
                <w:rFonts w:cs="Times New Roman"/>
                <w:sz w:val="24"/>
                <w:szCs w:val="24"/>
              </w:rPr>
            </w:pPr>
          </w:p>
        </w:tc>
        <w:tc>
          <w:tcPr>
            <w:tcW w:w="3060" w:type="dxa"/>
          </w:tcPr>
          <w:p w14:paraId="31A1C9AF" w14:textId="77777777" w:rsidR="003A0CC1" w:rsidRPr="008F65C9" w:rsidRDefault="003A0CC1" w:rsidP="003A0CC1">
            <w:pPr>
              <w:spacing w:before="80" w:after="80"/>
              <w:rPr>
                <w:rFonts w:cs="Times New Roman"/>
                <w:sz w:val="24"/>
                <w:szCs w:val="24"/>
              </w:rPr>
            </w:pPr>
          </w:p>
        </w:tc>
        <w:tc>
          <w:tcPr>
            <w:tcW w:w="1710" w:type="dxa"/>
          </w:tcPr>
          <w:p w14:paraId="26C2FE9A" w14:textId="77777777" w:rsidR="003A0CC1" w:rsidRPr="008F65C9" w:rsidRDefault="003A0CC1" w:rsidP="003A0CC1">
            <w:pPr>
              <w:spacing w:before="80" w:after="80"/>
              <w:rPr>
                <w:rFonts w:cs="Times New Roman"/>
                <w:sz w:val="24"/>
                <w:szCs w:val="24"/>
              </w:rPr>
            </w:pPr>
          </w:p>
        </w:tc>
        <w:tc>
          <w:tcPr>
            <w:tcW w:w="1890" w:type="dxa"/>
          </w:tcPr>
          <w:p w14:paraId="21AE28BC" w14:textId="7CD521E5" w:rsidR="003A0CC1" w:rsidRPr="008F65C9" w:rsidRDefault="000C52B7" w:rsidP="003A0CC1">
            <w:pPr>
              <w:spacing w:before="80" w:after="80"/>
              <w:rPr>
                <w:rFonts w:cs="Times New Roman"/>
                <w:sz w:val="24"/>
                <w:szCs w:val="24"/>
              </w:rPr>
            </w:pPr>
            <w:r>
              <w:rPr>
                <w:rFonts w:cs="Times New Roman"/>
                <w:sz w:val="24"/>
                <w:szCs w:val="24"/>
              </w:rPr>
              <w:t>$95,62</w:t>
            </w:r>
            <w:r w:rsidR="002321FE">
              <w:rPr>
                <w:rFonts w:cs="Times New Roman"/>
                <w:sz w:val="24"/>
                <w:szCs w:val="24"/>
              </w:rPr>
              <w:t>3</w:t>
            </w:r>
          </w:p>
        </w:tc>
      </w:tr>
    </w:tbl>
    <w:p w14:paraId="4EC63706" w14:textId="77777777" w:rsidR="00F2086A" w:rsidRPr="0040645D" w:rsidRDefault="00155507" w:rsidP="0040645D">
      <w:pPr>
        <w:pStyle w:val="ListParagraph"/>
      </w:pPr>
      <w:r w:rsidRPr="0040645D">
        <w:t>Other Personnel</w:t>
      </w:r>
    </w:p>
    <w:p w14:paraId="2539CF3E" w14:textId="6957BC25" w:rsidR="00143A30" w:rsidRDefault="00F2086A" w:rsidP="00D85D70">
      <w:pPr>
        <w:spacing w:before="120"/>
        <w:ind w:left="360"/>
      </w:pPr>
      <w:r w:rsidRPr="00F2086A">
        <w:t xml:space="preserve"> “Not applicable to this project.”</w:t>
      </w:r>
    </w:p>
    <w:p w14:paraId="0C416FB7" w14:textId="4B0FAAE6" w:rsidR="00143A30" w:rsidRPr="0040645D" w:rsidRDefault="00155507" w:rsidP="0040645D">
      <w:pPr>
        <w:pStyle w:val="ListParagraph"/>
      </w:pPr>
      <w:r w:rsidRPr="0040645D">
        <w:t>Equipment</w:t>
      </w:r>
    </w:p>
    <w:p w14:paraId="45676D69" w14:textId="2D72B700" w:rsidR="00F2086A" w:rsidRDefault="00F2086A" w:rsidP="000C52B7">
      <w:pPr>
        <w:spacing w:before="60"/>
        <w:ind w:firstLine="360"/>
      </w:pPr>
      <w:r w:rsidRPr="00F2086A">
        <w:t xml:space="preserve"> “Not applicable to this project</w:t>
      </w:r>
      <w:r w:rsidR="000C52B7">
        <w:t>.”</w:t>
      </w:r>
    </w:p>
    <w:p w14:paraId="615D1454" w14:textId="77777777" w:rsidR="00143A30" w:rsidRDefault="00155507" w:rsidP="00CD3E4B">
      <w:pPr>
        <w:pStyle w:val="ListParagraph"/>
      </w:pPr>
      <w:r w:rsidRPr="0040645D">
        <w:t>Travel</w:t>
      </w:r>
      <w:r w:rsidR="00150A6C" w:rsidRPr="0040645D">
        <w:t xml:space="preserve"> </w:t>
      </w:r>
    </w:p>
    <w:p w14:paraId="4AE1B361" w14:textId="7A16DF62" w:rsidR="00CD3E4B" w:rsidRDefault="000C52B7" w:rsidP="000C52B7">
      <w:pPr>
        <w:ind w:firstLine="360"/>
      </w:pPr>
      <w:r w:rsidRPr="00F2086A">
        <w:t>“Not applicable to this project.”</w:t>
      </w:r>
    </w:p>
    <w:p w14:paraId="75E0DCB1" w14:textId="77777777" w:rsidR="00143A30" w:rsidRPr="0040645D" w:rsidRDefault="00155507" w:rsidP="0040645D">
      <w:pPr>
        <w:pStyle w:val="ListParagraph"/>
      </w:pPr>
      <w:r w:rsidRPr="0040645D">
        <w:t>Participant/Trainee Support Costs (if applicable)</w:t>
      </w:r>
    </w:p>
    <w:p w14:paraId="4E7F75A6" w14:textId="7532BE60" w:rsidR="00F2086A" w:rsidRDefault="00F2086A" w:rsidP="00D85D70">
      <w:pPr>
        <w:spacing w:before="120"/>
        <w:ind w:left="360"/>
      </w:pPr>
      <w:r w:rsidRPr="00F2086A">
        <w:t xml:space="preserve"> “Not applicable to this project.” </w:t>
      </w:r>
    </w:p>
    <w:p w14:paraId="0AD14B2F" w14:textId="62009D75" w:rsidR="00F2086A" w:rsidRPr="0040645D" w:rsidRDefault="00155507" w:rsidP="0040645D">
      <w:pPr>
        <w:pStyle w:val="ListParagraph"/>
      </w:pPr>
      <w:r w:rsidRPr="0040645D">
        <w:t>Other Direct Costs</w:t>
      </w:r>
      <w:bookmarkStart w:id="1" w:name="A_description_of_FY19_LLNL_burdens_is_pr"/>
      <w:bookmarkEnd w:id="1"/>
    </w:p>
    <w:p w14:paraId="1A3DF071" w14:textId="2D12CA5D" w:rsidR="00F2086A" w:rsidRDefault="00F2086A" w:rsidP="00D85D70">
      <w:pPr>
        <w:spacing w:before="120"/>
        <w:ind w:left="360"/>
      </w:pPr>
      <w:r w:rsidRPr="00F2086A">
        <w:t xml:space="preserve"> “Not applicable to this project.”</w:t>
      </w:r>
    </w:p>
    <w:p w14:paraId="36BFD5DE" w14:textId="788D5E08" w:rsidR="00143A30" w:rsidRPr="0040645D" w:rsidRDefault="00513DAC" w:rsidP="0040645D">
      <w:pPr>
        <w:pStyle w:val="ListParagraph"/>
      </w:pPr>
      <w:r w:rsidRPr="0040645D">
        <w:t>D</w:t>
      </w:r>
      <w:r w:rsidR="00155507" w:rsidRPr="0040645D">
        <w:t>irect Costs</w:t>
      </w:r>
    </w:p>
    <w:p w14:paraId="787C676D" w14:textId="77777777" w:rsidR="0040645D" w:rsidRPr="0040645D" w:rsidRDefault="0040645D" w:rsidP="00CD3E4B">
      <w:pPr>
        <w:pStyle w:val="Heading4"/>
        <w:ind w:left="90"/>
      </w:pPr>
      <w:r w:rsidRPr="0040645D">
        <w:t>Summary of direct costs:</w:t>
      </w:r>
    </w:p>
    <w:p w14:paraId="5798CB97" w14:textId="7A7F879C" w:rsidR="00083F99" w:rsidRPr="00AD501C" w:rsidRDefault="00083F99" w:rsidP="00AA3D27">
      <w:pPr>
        <w:pStyle w:val="BodyText"/>
        <w:spacing w:before="120"/>
        <w:ind w:left="2340" w:hanging="1980"/>
        <w:rPr>
          <w:sz w:val="26"/>
          <w:szCs w:val="26"/>
        </w:rPr>
      </w:pPr>
      <w:r w:rsidRPr="00AD501C">
        <w:rPr>
          <w:sz w:val="26"/>
          <w:szCs w:val="26"/>
        </w:rPr>
        <w:t xml:space="preserve">Year </w:t>
      </w:r>
      <w:r w:rsidR="00AA3D27">
        <w:rPr>
          <w:sz w:val="26"/>
          <w:szCs w:val="26"/>
        </w:rPr>
        <w:t>1</w:t>
      </w:r>
      <w:r w:rsidRPr="00AD501C">
        <w:rPr>
          <w:sz w:val="26"/>
          <w:szCs w:val="26"/>
        </w:rPr>
        <w:t>:</w:t>
      </w:r>
      <w:r w:rsidRPr="00AD501C">
        <w:rPr>
          <w:sz w:val="26"/>
          <w:szCs w:val="26"/>
        </w:rPr>
        <w:tab/>
        <w:t>$</w:t>
      </w:r>
      <w:r w:rsidR="000C52B7">
        <w:rPr>
          <w:sz w:val="26"/>
          <w:szCs w:val="26"/>
        </w:rPr>
        <w:t>95,62</w:t>
      </w:r>
      <w:r w:rsidR="002321FE">
        <w:rPr>
          <w:sz w:val="26"/>
          <w:szCs w:val="26"/>
        </w:rPr>
        <w:t>3</w:t>
      </w:r>
    </w:p>
    <w:p w14:paraId="1BC73799" w14:textId="4318D430" w:rsidR="00083F99" w:rsidRPr="00AD501C" w:rsidRDefault="00083F99" w:rsidP="00AA3D27">
      <w:pPr>
        <w:pStyle w:val="BodyText"/>
        <w:ind w:left="2340" w:hanging="1980"/>
        <w:rPr>
          <w:sz w:val="26"/>
          <w:szCs w:val="26"/>
        </w:rPr>
      </w:pPr>
      <w:r w:rsidRPr="00AD501C">
        <w:rPr>
          <w:sz w:val="26"/>
          <w:szCs w:val="26"/>
        </w:rPr>
        <w:t xml:space="preserve">Year </w:t>
      </w:r>
      <w:r w:rsidR="00AA3D27">
        <w:rPr>
          <w:sz w:val="26"/>
          <w:szCs w:val="26"/>
        </w:rPr>
        <w:t>2</w:t>
      </w:r>
      <w:r w:rsidRPr="00AD501C">
        <w:rPr>
          <w:sz w:val="26"/>
          <w:szCs w:val="26"/>
        </w:rPr>
        <w:t>:</w:t>
      </w:r>
      <w:r w:rsidRPr="00AD501C">
        <w:rPr>
          <w:sz w:val="26"/>
          <w:szCs w:val="26"/>
        </w:rPr>
        <w:tab/>
        <w:t>$</w:t>
      </w:r>
    </w:p>
    <w:p w14:paraId="44ACB6F5" w14:textId="2A911E90" w:rsidR="00083F99" w:rsidRPr="00AD501C" w:rsidRDefault="00083F99" w:rsidP="00AA3D27">
      <w:pPr>
        <w:pStyle w:val="BodyText"/>
        <w:tabs>
          <w:tab w:val="left" w:pos="2970"/>
        </w:tabs>
        <w:ind w:left="2340" w:hanging="1980"/>
        <w:rPr>
          <w:sz w:val="26"/>
          <w:szCs w:val="26"/>
        </w:rPr>
      </w:pPr>
      <w:r w:rsidRPr="00AD501C">
        <w:rPr>
          <w:sz w:val="26"/>
          <w:szCs w:val="26"/>
        </w:rPr>
        <w:t xml:space="preserve">Year </w:t>
      </w:r>
      <w:r w:rsidR="00AA3D27">
        <w:rPr>
          <w:sz w:val="26"/>
          <w:szCs w:val="26"/>
        </w:rPr>
        <w:t>3</w:t>
      </w:r>
      <w:r w:rsidRPr="00AD501C">
        <w:rPr>
          <w:sz w:val="26"/>
          <w:szCs w:val="26"/>
        </w:rPr>
        <w:t>:</w:t>
      </w:r>
      <w:r w:rsidRPr="00AD501C">
        <w:rPr>
          <w:sz w:val="26"/>
          <w:szCs w:val="26"/>
        </w:rPr>
        <w:tab/>
        <w:t>$</w:t>
      </w:r>
    </w:p>
    <w:p w14:paraId="30F3AEB2" w14:textId="67F5FA0A" w:rsidR="00083F99" w:rsidRPr="00CD3E4B" w:rsidRDefault="00083F99" w:rsidP="00AA3D27">
      <w:pPr>
        <w:pStyle w:val="BodyText"/>
        <w:spacing w:before="120"/>
        <w:ind w:left="2340" w:hanging="1980"/>
        <w:rPr>
          <w:b/>
          <w:color w:val="44546A"/>
          <w:sz w:val="26"/>
          <w:szCs w:val="26"/>
        </w:rPr>
      </w:pPr>
      <w:r w:rsidRPr="00CD3E4B">
        <w:rPr>
          <w:b/>
          <w:color w:val="44546A"/>
          <w:sz w:val="26"/>
          <w:szCs w:val="26"/>
        </w:rPr>
        <w:t xml:space="preserve">Total </w:t>
      </w:r>
      <w:r w:rsidR="00513DAC" w:rsidRPr="00CD3E4B">
        <w:rPr>
          <w:b/>
          <w:color w:val="44546A"/>
          <w:sz w:val="26"/>
          <w:szCs w:val="26"/>
        </w:rPr>
        <w:t>Di</w:t>
      </w:r>
      <w:r w:rsidRPr="00CD3E4B">
        <w:rPr>
          <w:b/>
          <w:color w:val="44546A"/>
          <w:sz w:val="26"/>
          <w:szCs w:val="26"/>
        </w:rPr>
        <w:t>rect Costs:</w:t>
      </w:r>
      <w:r w:rsidRPr="00CD3E4B">
        <w:rPr>
          <w:b/>
          <w:color w:val="44546A"/>
          <w:sz w:val="26"/>
          <w:szCs w:val="26"/>
        </w:rPr>
        <w:tab/>
        <w:t>$</w:t>
      </w:r>
      <w:r w:rsidR="002321FE">
        <w:rPr>
          <w:b/>
          <w:color w:val="44546A"/>
          <w:sz w:val="26"/>
          <w:szCs w:val="26"/>
        </w:rPr>
        <w:t>95,623</w:t>
      </w:r>
    </w:p>
    <w:p w14:paraId="0F81A667" w14:textId="77777777" w:rsidR="00CA3C04" w:rsidRPr="0040645D" w:rsidRDefault="00CA3C04" w:rsidP="0040645D">
      <w:pPr>
        <w:pStyle w:val="ListParagraph"/>
      </w:pPr>
      <w:r>
        <w:t>Other Indirect Costs</w:t>
      </w:r>
    </w:p>
    <w:p w14:paraId="32C7FD89" w14:textId="511908CD" w:rsidR="2910AC2B" w:rsidRDefault="2910AC2B" w:rsidP="24F1A720">
      <w:pPr>
        <w:pStyle w:val="ListParagraph"/>
        <w:numPr>
          <w:ilvl w:val="0"/>
          <w:numId w:val="0"/>
        </w:numPr>
        <w:ind w:left="360"/>
      </w:pPr>
      <w:r w:rsidRPr="24F1A720">
        <w:rPr>
          <w:rFonts w:eastAsia="Arial Narrow" w:cs="Arial Narrow"/>
          <w:b w:val="0"/>
          <w:smallCaps w:val="0"/>
          <w:color w:val="000000" w:themeColor="text1"/>
          <w:sz w:val="26"/>
          <w:szCs w:val="26"/>
        </w:rPr>
        <w:t>[</w:t>
      </w:r>
      <w:r w:rsidR="000C52B7">
        <w:rPr>
          <w:rFonts w:eastAsia="Arial Narrow" w:cs="Arial Narrow"/>
          <w:b w:val="0"/>
          <w:smallCaps w:val="0"/>
          <w:color w:val="000000" w:themeColor="text1"/>
          <w:sz w:val="26"/>
          <w:szCs w:val="26"/>
        </w:rPr>
        <w:t>$104,37</w:t>
      </w:r>
      <w:r w:rsidR="002321FE">
        <w:rPr>
          <w:rFonts w:eastAsia="Arial Narrow" w:cs="Arial Narrow"/>
          <w:b w:val="0"/>
          <w:smallCaps w:val="0"/>
          <w:color w:val="000000" w:themeColor="text1"/>
          <w:sz w:val="26"/>
          <w:szCs w:val="26"/>
        </w:rPr>
        <w:t>7</w:t>
      </w:r>
      <w:r w:rsidRPr="24F1A720">
        <w:rPr>
          <w:rFonts w:eastAsia="Arial Narrow" w:cs="Arial Narrow"/>
          <w:b w:val="0"/>
          <w:smallCaps w:val="0"/>
          <w:color w:val="000000" w:themeColor="text1"/>
          <w:sz w:val="26"/>
          <w:szCs w:val="26"/>
        </w:rPr>
        <w:t>]</w:t>
      </w:r>
    </w:p>
    <w:p w14:paraId="71FCF859" w14:textId="4D6DC856" w:rsidR="5A2B7006" w:rsidRDefault="5A2B7006" w:rsidP="24F1A720">
      <w:pPr>
        <w:pStyle w:val="ListParagraph"/>
        <w:rPr>
          <w:rFonts w:eastAsia="Arial Narrow" w:cs="Arial Narrow"/>
          <w:bCs/>
          <w:szCs w:val="36"/>
        </w:rPr>
      </w:pPr>
      <w:r w:rsidRPr="24F1A720">
        <w:rPr>
          <w:rFonts w:eastAsia="Arial Narrow" w:cs="Arial Narrow"/>
          <w:bCs/>
          <w:szCs w:val="36"/>
        </w:rPr>
        <w:lastRenderedPageBreak/>
        <w:t>Total Direct and Indirect Costs</w:t>
      </w:r>
    </w:p>
    <w:p w14:paraId="4CD52F3B" w14:textId="6048BDCA" w:rsidR="5A2B7006" w:rsidRDefault="5A2B7006" w:rsidP="24F1A720">
      <w:pPr>
        <w:pStyle w:val="BodyText"/>
        <w:spacing w:before="120"/>
        <w:ind w:left="2520" w:hanging="2160"/>
        <w:rPr>
          <w:rFonts w:eastAsia="Arial Narrow" w:cs="Arial Narrow"/>
          <w:color w:val="000000" w:themeColor="text1"/>
          <w:sz w:val="26"/>
          <w:szCs w:val="26"/>
        </w:rPr>
      </w:pPr>
      <w:r w:rsidRPr="24F1A720">
        <w:rPr>
          <w:rFonts w:eastAsia="Arial Narrow" w:cs="Arial Narrow"/>
          <w:color w:val="000000" w:themeColor="text1"/>
          <w:sz w:val="26"/>
          <w:szCs w:val="26"/>
        </w:rPr>
        <w:t>Year 1:</w:t>
      </w:r>
      <w:r>
        <w:tab/>
      </w:r>
      <w:r w:rsidRPr="24F1A720">
        <w:rPr>
          <w:rFonts w:eastAsia="Arial Narrow" w:cs="Arial Narrow"/>
          <w:color w:val="000000" w:themeColor="text1"/>
          <w:sz w:val="26"/>
          <w:szCs w:val="26"/>
        </w:rPr>
        <w:t>$</w:t>
      </w:r>
      <w:r w:rsidR="000C52B7">
        <w:rPr>
          <w:rFonts w:eastAsia="Arial Narrow" w:cs="Arial Narrow"/>
          <w:color w:val="000000" w:themeColor="text1"/>
          <w:sz w:val="26"/>
          <w:szCs w:val="26"/>
        </w:rPr>
        <w:t>200,000</w:t>
      </w:r>
    </w:p>
    <w:p w14:paraId="48976962" w14:textId="7CC3EDA4" w:rsidR="5A2B7006" w:rsidRDefault="5A2B7006" w:rsidP="24F1A720">
      <w:pPr>
        <w:pStyle w:val="BodyText"/>
        <w:ind w:left="2520" w:hanging="2160"/>
        <w:rPr>
          <w:rFonts w:eastAsia="Arial Narrow" w:cs="Arial Narrow"/>
          <w:color w:val="000000" w:themeColor="text1"/>
          <w:sz w:val="26"/>
          <w:szCs w:val="26"/>
        </w:rPr>
      </w:pPr>
      <w:r w:rsidRPr="24F1A720">
        <w:rPr>
          <w:rFonts w:eastAsia="Arial Narrow" w:cs="Arial Narrow"/>
          <w:color w:val="000000" w:themeColor="text1"/>
          <w:sz w:val="26"/>
          <w:szCs w:val="26"/>
        </w:rPr>
        <w:t>Year 2:</w:t>
      </w:r>
      <w:r>
        <w:tab/>
      </w:r>
      <w:r w:rsidRPr="24F1A720">
        <w:rPr>
          <w:rFonts w:eastAsia="Arial Narrow" w:cs="Arial Narrow"/>
          <w:color w:val="000000" w:themeColor="text1"/>
          <w:sz w:val="26"/>
          <w:szCs w:val="26"/>
        </w:rPr>
        <w:t>$</w:t>
      </w:r>
    </w:p>
    <w:p w14:paraId="54FC60C9" w14:textId="330FBBC7" w:rsidR="5A2B7006" w:rsidRDefault="5A2B7006" w:rsidP="24F1A720">
      <w:pPr>
        <w:pStyle w:val="BodyText"/>
        <w:ind w:left="2520" w:hanging="2160"/>
        <w:rPr>
          <w:rFonts w:eastAsia="Arial Narrow" w:cs="Arial Narrow"/>
          <w:color w:val="000000" w:themeColor="text1"/>
          <w:sz w:val="26"/>
          <w:szCs w:val="26"/>
        </w:rPr>
      </w:pPr>
      <w:r w:rsidRPr="24F1A720">
        <w:rPr>
          <w:rFonts w:eastAsia="Arial Narrow" w:cs="Arial Narrow"/>
          <w:color w:val="000000" w:themeColor="text1"/>
          <w:sz w:val="26"/>
          <w:szCs w:val="26"/>
        </w:rPr>
        <w:t>Year 3:</w:t>
      </w:r>
      <w:r>
        <w:tab/>
      </w:r>
      <w:r w:rsidRPr="24F1A720">
        <w:rPr>
          <w:rFonts w:eastAsia="Arial Narrow" w:cs="Arial Narrow"/>
          <w:color w:val="000000" w:themeColor="text1"/>
          <w:sz w:val="26"/>
          <w:szCs w:val="26"/>
        </w:rPr>
        <w:t>$</w:t>
      </w:r>
    </w:p>
    <w:p w14:paraId="54938D9C" w14:textId="10256C60" w:rsidR="5A2B7006" w:rsidRDefault="5A2B7006" w:rsidP="24F1A720">
      <w:pPr>
        <w:pStyle w:val="BodyText"/>
        <w:spacing w:before="120"/>
        <w:ind w:left="2520" w:hanging="2160"/>
        <w:rPr>
          <w:rFonts w:eastAsia="Arial Narrow" w:cs="Arial Narrow"/>
          <w:color w:val="44546A"/>
          <w:sz w:val="26"/>
          <w:szCs w:val="26"/>
        </w:rPr>
      </w:pPr>
      <w:r w:rsidRPr="24F1A720">
        <w:rPr>
          <w:rFonts w:eastAsia="Arial Narrow" w:cs="Arial Narrow"/>
          <w:b/>
          <w:bCs/>
          <w:color w:val="44546A"/>
          <w:sz w:val="26"/>
          <w:szCs w:val="26"/>
        </w:rPr>
        <w:t>Total Indirect Costs:</w:t>
      </w:r>
      <w:r>
        <w:tab/>
      </w:r>
      <w:r w:rsidRPr="24F1A720">
        <w:rPr>
          <w:rFonts w:eastAsia="Arial Narrow" w:cs="Arial Narrow"/>
          <w:b/>
          <w:bCs/>
          <w:color w:val="44546A"/>
          <w:sz w:val="26"/>
          <w:szCs w:val="26"/>
        </w:rPr>
        <w:t>$</w:t>
      </w:r>
      <w:r w:rsidR="000C52B7">
        <w:rPr>
          <w:rFonts w:eastAsia="Arial Narrow" w:cs="Arial Narrow"/>
          <w:b/>
          <w:bCs/>
          <w:color w:val="44546A"/>
          <w:sz w:val="26"/>
          <w:szCs w:val="26"/>
        </w:rPr>
        <w:t>104,37</w:t>
      </w:r>
      <w:r w:rsidR="002321FE">
        <w:rPr>
          <w:rFonts w:eastAsia="Arial Narrow" w:cs="Arial Narrow"/>
          <w:b/>
          <w:bCs/>
          <w:color w:val="44546A"/>
          <w:sz w:val="26"/>
          <w:szCs w:val="26"/>
        </w:rPr>
        <w:t>7</w:t>
      </w:r>
    </w:p>
    <w:p w14:paraId="6EFD4EB9" w14:textId="5CC44BFB" w:rsidR="24F1A720" w:rsidRDefault="24F1A720" w:rsidP="24F1A720">
      <w:pPr>
        <w:pStyle w:val="ListParagraph"/>
        <w:numPr>
          <w:ilvl w:val="0"/>
          <w:numId w:val="0"/>
        </w:numPr>
        <w:ind w:left="360"/>
      </w:pPr>
    </w:p>
    <w:p w14:paraId="6EE92C7B" w14:textId="0B1A30A0" w:rsidR="077173AE" w:rsidRDefault="077173AE" w:rsidP="24F1A720">
      <w:pPr>
        <w:pStyle w:val="ListParagraph"/>
        <w:numPr>
          <w:ilvl w:val="0"/>
          <w:numId w:val="0"/>
        </w:numPr>
        <w:ind w:left="360"/>
      </w:pPr>
      <w:r>
        <w:rPr>
          <w:noProof/>
        </w:rPr>
        <w:drawing>
          <wp:inline distT="0" distB="0" distL="0" distR="0" wp14:anchorId="5DDE4EAD" wp14:editId="41BE0C25">
            <wp:extent cx="4476750" cy="5648325"/>
            <wp:effectExtent l="0" t="0" r="0" b="0"/>
            <wp:docPr id="1794690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0856" name="Picture 1794690856"/>
                    <pic:cNvPicPr/>
                  </pic:nvPicPr>
                  <pic:blipFill>
                    <a:blip r:embed="rId7">
                      <a:extLst>
                        <a:ext uri="{28A0092B-C50C-407E-A947-70E740481C1C}">
                          <a14:useLocalDpi xmlns:a14="http://schemas.microsoft.com/office/drawing/2010/main"/>
                        </a:ext>
                      </a:extLst>
                    </a:blip>
                    <a:stretch>
                      <a:fillRect/>
                    </a:stretch>
                  </pic:blipFill>
                  <pic:spPr>
                    <a:xfrm>
                      <a:off x="0" y="0"/>
                      <a:ext cx="4476750" cy="5648325"/>
                    </a:xfrm>
                    <a:prstGeom prst="rect">
                      <a:avLst/>
                    </a:prstGeom>
                  </pic:spPr>
                </pic:pic>
              </a:graphicData>
            </a:graphic>
          </wp:inline>
        </w:drawing>
      </w:r>
    </w:p>
    <w:p w14:paraId="1E6E0C84" w14:textId="561A86F9" w:rsidR="00D150D0" w:rsidRDefault="7C93C2DD" w:rsidP="269F0BBB">
      <w:pPr>
        <w:spacing w:after="120"/>
      </w:pPr>
      <w:r w:rsidRPr="269F0BBB">
        <w:rPr>
          <w:rFonts w:ascii="Times New Roman" w:eastAsia="Times New Roman" w:hAnsi="Times New Roman" w:cs="Times New Roman"/>
          <w:b/>
          <w:bCs/>
          <w:color w:val="A1662C"/>
          <w:szCs w:val="26"/>
        </w:rPr>
        <w:t>Description of LLNL Burdens</w:t>
      </w:r>
    </w:p>
    <w:p w14:paraId="1F3F77C6" w14:textId="24A1F85D" w:rsidR="00D150D0" w:rsidRDefault="7C93C2DD" w:rsidP="269F0BBB">
      <w:pPr>
        <w:spacing w:after="120"/>
      </w:pPr>
      <w:r w:rsidRPr="269F0BBB">
        <w:rPr>
          <w:rFonts w:ascii="Times New Roman" w:eastAsia="Times New Roman" w:hAnsi="Times New Roman" w:cs="Times New Roman"/>
          <w:b/>
          <w:bCs/>
          <w:i/>
          <w:iCs/>
          <w:sz w:val="24"/>
          <w:szCs w:val="24"/>
        </w:rPr>
        <w:t>Fringe Benefits</w:t>
      </w:r>
    </w:p>
    <w:p w14:paraId="53681772" w14:textId="33DE489F"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b/>
          <w:bCs/>
          <w:color w:val="000000" w:themeColor="text1"/>
          <w:sz w:val="24"/>
          <w:szCs w:val="24"/>
        </w:rPr>
        <w:t xml:space="preserve">Payroll Burden </w:t>
      </w:r>
      <w:r w:rsidRPr="269F0BBB">
        <w:rPr>
          <w:rFonts w:ascii="Times New Roman" w:eastAsia="Times New Roman" w:hAnsi="Times New Roman" w:cs="Times New Roman"/>
          <w:color w:val="000000" w:themeColor="text1"/>
          <w:sz w:val="24"/>
          <w:szCs w:val="24"/>
        </w:rPr>
        <w:t>costs are incurred for employee fringe benefits. Three payroll burden rates are used to reflect the different benefit levels for different appointment types.</w:t>
      </w:r>
    </w:p>
    <w:p w14:paraId="3730931D" w14:textId="1C3EFA3C"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lastRenderedPageBreak/>
        <w:t>1. Payroll Burden – Full: includes accrued vacation cost, sick leave and holidays taken, court and miscellaneous leave with pay, retirement contributions (pension and 401K), health plan contributions, Medicare, Social Security, workman’s compensation insurance, unemployment insurance, and Variable Compensation Plan (VCP)</w:t>
      </w:r>
    </w:p>
    <w:p w14:paraId="04838DE7" w14:textId="5C3D8792"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2. Payroll Burden – Post Doc/College:   same as full payroll burden, but excludes employer retirement contributions (pension), employer health plan contributions (retiree), and VCP</w:t>
      </w:r>
    </w:p>
    <w:p w14:paraId="6056EC5E" w14:textId="048C788A"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3. Payroll Burden – Reduced: same as full payroll burden, but excludes accrued vacation, court leave, employer retirement contributions, employer health contributions, and VCP</w:t>
      </w:r>
    </w:p>
    <w:p w14:paraId="159FC60A" w14:textId="4CAE032C" w:rsidR="00D150D0" w:rsidRDefault="7C93C2DD" w:rsidP="269F0BBB">
      <w:pPr>
        <w:spacing w:after="120"/>
      </w:pPr>
      <w:r w:rsidRPr="269F0BBB">
        <w:rPr>
          <w:rFonts w:ascii="Times New Roman" w:eastAsia="Times New Roman" w:hAnsi="Times New Roman" w:cs="Times New Roman"/>
          <w:b/>
          <w:bCs/>
          <w:i/>
          <w:iCs/>
          <w:sz w:val="24"/>
          <w:szCs w:val="24"/>
        </w:rPr>
        <w:t>General and Administrative Costs:</w:t>
      </w:r>
    </w:p>
    <w:p w14:paraId="5CEFD5DD" w14:textId="373A7EC7"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b/>
          <w:bCs/>
          <w:color w:val="000000" w:themeColor="text1"/>
          <w:sz w:val="24"/>
          <w:szCs w:val="24"/>
        </w:rPr>
        <w:t xml:space="preserve">General &amp; Administrative (G&amp;A) </w:t>
      </w:r>
      <w:r w:rsidRPr="269F0BBB">
        <w:rPr>
          <w:rFonts w:ascii="Times New Roman" w:eastAsia="Times New Roman" w:hAnsi="Times New Roman" w:cs="Times New Roman"/>
          <w:color w:val="000000" w:themeColor="text1"/>
          <w:sz w:val="24"/>
          <w:szCs w:val="24"/>
        </w:rPr>
        <w:t>costs are defined as any management, financial, or other expenses that are incurred for the general management and administration of the Laboratory as a whole. G&amp;A activities include senior management administration, external relations &amp; communications, staff relations, legal, internal audit, human resources, CFO (finance, budget, and resource management), procurement, prime contract management, integrated performance and pay administration/workforce management (non-programmatic), tech base (projects that maintain or improve core competencies and capabilities which are multi- programmatic in application), core competencies, outreach, and Special Employees (Post Docs performing institutional activities)</w:t>
      </w:r>
    </w:p>
    <w:p w14:paraId="2BDF05B8" w14:textId="06BDAD31" w:rsidR="00D150D0" w:rsidRDefault="7C93C2DD" w:rsidP="269F0BBB">
      <w:pPr>
        <w:spacing w:after="120"/>
      </w:pPr>
      <w:r w:rsidRPr="269F0BBB">
        <w:rPr>
          <w:rFonts w:ascii="Times New Roman" w:eastAsia="Times New Roman" w:hAnsi="Times New Roman" w:cs="Times New Roman"/>
          <w:b/>
          <w:bCs/>
          <w:i/>
          <w:iCs/>
          <w:sz w:val="24"/>
          <w:szCs w:val="24"/>
        </w:rPr>
        <w:t>Labor Overhead:</w:t>
      </w:r>
    </w:p>
    <w:p w14:paraId="50654485" w14:textId="20508AFE"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b/>
          <w:bCs/>
          <w:color w:val="000000" w:themeColor="text1"/>
          <w:sz w:val="24"/>
          <w:szCs w:val="24"/>
        </w:rPr>
        <w:t>Program Management Charge (PMC)</w:t>
      </w:r>
      <w:r w:rsidRPr="269F0BBB">
        <w:rPr>
          <w:rFonts w:ascii="Times New Roman" w:eastAsia="Times New Roman" w:hAnsi="Times New Roman" w:cs="Times New Roman"/>
          <w:color w:val="000000" w:themeColor="text1"/>
          <w:sz w:val="24"/>
          <w:szCs w:val="24"/>
        </w:rPr>
        <w:t xml:space="preserve"> </w:t>
      </w:r>
      <w:r w:rsidRPr="269F0BBB">
        <w:rPr>
          <w:rFonts w:ascii="Times New Roman" w:eastAsia="Times New Roman" w:hAnsi="Times New Roman" w:cs="Times New Roman"/>
          <w:b/>
          <w:bCs/>
          <w:color w:val="000000" w:themeColor="text1"/>
          <w:sz w:val="24"/>
          <w:szCs w:val="24"/>
        </w:rPr>
        <w:t>– PAD</w:t>
      </w:r>
      <w:r w:rsidRPr="269F0BBB">
        <w:rPr>
          <w:rFonts w:ascii="Times New Roman" w:eastAsia="Times New Roman" w:hAnsi="Times New Roman" w:cs="Times New Roman"/>
          <w:color w:val="000000" w:themeColor="text1"/>
          <w:sz w:val="24"/>
          <w:szCs w:val="24"/>
        </w:rPr>
        <w:t xml:space="preserve"> costs are incurred for managing and administering programs within a Principal Directorate. There are six program PMCs.</w:t>
      </w:r>
    </w:p>
    <w:p w14:paraId="5050FB4C" w14:textId="235E0CFE"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1. Computations (COMP): includes COMP program management and policy costs</w:t>
      </w:r>
    </w:p>
    <w:p w14:paraId="1A22CE74" w14:textId="78218C0F"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2. Engineering (ENG): includes ENG program management and policy costs</w:t>
      </w:r>
    </w:p>
    <w:p w14:paraId="25D9987E" w14:textId="3BEA4551"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3. Global Security (GS): includes GS program management, program development, project management, PAD office operations, and Directorate Review Committee (DRC)</w:t>
      </w:r>
    </w:p>
    <w:p w14:paraId="2838BF00" w14:textId="5F28D8E0"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4. National Ignition Facility (NIF): includes NIF program management, program development, and PAD office operations</w:t>
      </w:r>
    </w:p>
    <w:p w14:paraId="60E3B5D7" w14:textId="63FF60A3"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5. Physical and Life Sciences (PLS): includes PLS program management and policy costs</w:t>
      </w:r>
    </w:p>
    <w:p w14:paraId="1130492A" w14:textId="057B9B24"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color w:val="000000" w:themeColor="text1"/>
          <w:sz w:val="24"/>
          <w:szCs w:val="24"/>
        </w:rPr>
        <w:t xml:space="preserve">6. Weapons and Complex Integration (WCI): includes WCI program management, </w:t>
      </w:r>
      <w:proofErr w:type="gramStart"/>
      <w:r w:rsidRPr="269F0BBB">
        <w:rPr>
          <w:rFonts w:ascii="Times New Roman" w:eastAsia="Times New Roman" w:hAnsi="Times New Roman" w:cs="Times New Roman"/>
          <w:color w:val="000000" w:themeColor="text1"/>
          <w:sz w:val="24"/>
          <w:szCs w:val="24"/>
        </w:rPr>
        <w:t>program</w:t>
      </w:r>
      <w:proofErr w:type="gramEnd"/>
      <w:r w:rsidRPr="269F0BBB">
        <w:rPr>
          <w:rFonts w:ascii="Times New Roman" w:eastAsia="Times New Roman" w:hAnsi="Times New Roman" w:cs="Times New Roman"/>
          <w:color w:val="000000" w:themeColor="text1"/>
          <w:sz w:val="24"/>
          <w:szCs w:val="24"/>
        </w:rPr>
        <w:t xml:space="preserve"> development, and PAD office operations</w:t>
      </w:r>
    </w:p>
    <w:p w14:paraId="6DE125AF" w14:textId="40F15268"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b/>
          <w:bCs/>
          <w:color w:val="000000" w:themeColor="text1"/>
          <w:sz w:val="24"/>
          <w:szCs w:val="24"/>
        </w:rPr>
        <w:t>Program Management Charge (PMC) – Institutional</w:t>
      </w:r>
      <w:r w:rsidRPr="269F0BBB">
        <w:rPr>
          <w:rFonts w:ascii="Times New Roman" w:eastAsia="Times New Roman" w:hAnsi="Times New Roman" w:cs="Times New Roman"/>
          <w:color w:val="000000" w:themeColor="text1"/>
          <w:sz w:val="24"/>
          <w:szCs w:val="24"/>
        </w:rPr>
        <w:t xml:space="preserve"> costs are associated with supporting LLNL initiatives and priorities that are multi programmatic including strategic studies related to LLNL missions or in support of decisions to be made by executive leadership, LLNL strategic initiatives that have Lab wide benefit and program development investments that provide capability sustainment to develop and sustain the intellectual base that benefits multiple programs.</w:t>
      </w:r>
    </w:p>
    <w:p w14:paraId="41670A89" w14:textId="42E440AF"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b/>
          <w:bCs/>
          <w:color w:val="000000" w:themeColor="text1"/>
          <w:sz w:val="24"/>
          <w:szCs w:val="24"/>
        </w:rPr>
        <w:t>Site Support</w:t>
      </w:r>
      <w:r w:rsidRPr="269F0BBB">
        <w:rPr>
          <w:rFonts w:ascii="Times New Roman" w:eastAsia="Times New Roman" w:hAnsi="Times New Roman" w:cs="Times New Roman"/>
          <w:color w:val="000000" w:themeColor="text1"/>
          <w:sz w:val="24"/>
          <w:szCs w:val="24"/>
        </w:rPr>
        <w:t xml:space="preserve"> costs are necessary for the management, maintenance, and upgrades of the </w:t>
      </w:r>
      <w:proofErr w:type="gramStart"/>
      <w:r w:rsidRPr="269F0BBB">
        <w:rPr>
          <w:rFonts w:ascii="Times New Roman" w:eastAsia="Times New Roman" w:hAnsi="Times New Roman" w:cs="Times New Roman"/>
          <w:color w:val="000000" w:themeColor="text1"/>
          <w:sz w:val="24"/>
          <w:szCs w:val="24"/>
        </w:rPr>
        <w:t>general purpose</w:t>
      </w:r>
      <w:proofErr w:type="gramEnd"/>
      <w:r w:rsidRPr="269F0BBB">
        <w:rPr>
          <w:rFonts w:ascii="Times New Roman" w:eastAsia="Times New Roman" w:hAnsi="Times New Roman" w:cs="Times New Roman"/>
          <w:color w:val="000000" w:themeColor="text1"/>
          <w:sz w:val="24"/>
          <w:szCs w:val="24"/>
        </w:rPr>
        <w:t xml:space="preserve"> facilities and property, and for the provision of basic infrastructure services and safety on site. Activities include computer support, networks, telecommunications, information technology management and services, health services, environmental protection, hazards control, site emergency preparedness, facilities management, facilities maintenance, roads and grounds maintenance, fire protection services, environmental safety &amp; health compliance, institutional scientific infrastructure, shipping, receiving, mail services, and taxi services. Costs in the pool also include Institutional </w:t>
      </w:r>
      <w:proofErr w:type="gramStart"/>
      <w:r w:rsidRPr="269F0BBB">
        <w:rPr>
          <w:rFonts w:ascii="Times New Roman" w:eastAsia="Times New Roman" w:hAnsi="Times New Roman" w:cs="Times New Roman"/>
          <w:color w:val="000000" w:themeColor="text1"/>
          <w:sz w:val="24"/>
          <w:szCs w:val="24"/>
        </w:rPr>
        <w:t>General Purpose</w:t>
      </w:r>
      <w:proofErr w:type="gramEnd"/>
      <w:r w:rsidRPr="269F0BBB">
        <w:rPr>
          <w:rFonts w:ascii="Times New Roman" w:eastAsia="Times New Roman" w:hAnsi="Times New Roman" w:cs="Times New Roman"/>
          <w:color w:val="000000" w:themeColor="text1"/>
          <w:sz w:val="24"/>
          <w:szCs w:val="24"/>
        </w:rPr>
        <w:t xml:space="preserve"> Equipment (IGPE) and Institutional General Plant </w:t>
      </w:r>
      <w:r w:rsidRPr="269F0BBB">
        <w:rPr>
          <w:rFonts w:ascii="Times New Roman" w:eastAsia="Times New Roman" w:hAnsi="Times New Roman" w:cs="Times New Roman"/>
          <w:color w:val="000000" w:themeColor="text1"/>
          <w:sz w:val="24"/>
          <w:szCs w:val="24"/>
        </w:rPr>
        <w:lastRenderedPageBreak/>
        <w:t xml:space="preserve">Projects (IGPP), which </w:t>
      </w:r>
      <w:proofErr w:type="gramStart"/>
      <w:r w:rsidRPr="269F0BBB">
        <w:rPr>
          <w:rFonts w:ascii="Times New Roman" w:eastAsia="Times New Roman" w:hAnsi="Times New Roman" w:cs="Times New Roman"/>
          <w:color w:val="000000" w:themeColor="text1"/>
          <w:sz w:val="24"/>
          <w:szCs w:val="24"/>
        </w:rPr>
        <w:t>consists</w:t>
      </w:r>
      <w:proofErr w:type="gramEnd"/>
      <w:r w:rsidRPr="269F0BBB">
        <w:rPr>
          <w:rFonts w:ascii="Times New Roman" w:eastAsia="Times New Roman" w:hAnsi="Times New Roman" w:cs="Times New Roman"/>
          <w:color w:val="000000" w:themeColor="text1"/>
          <w:sz w:val="24"/>
          <w:szCs w:val="24"/>
        </w:rPr>
        <w:t xml:space="preserve"> of capital equipment and construction projects of a general use or institutional nature that is required for general purpose site wide needs.</w:t>
      </w:r>
    </w:p>
    <w:p w14:paraId="48E11DEC" w14:textId="01B9F023"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b/>
          <w:bCs/>
          <w:color w:val="000000" w:themeColor="text1"/>
          <w:sz w:val="24"/>
          <w:szCs w:val="24"/>
        </w:rPr>
        <w:t xml:space="preserve">Laboratory Directed Research and Development (LDRD) </w:t>
      </w:r>
      <w:r w:rsidRPr="269F0BBB">
        <w:rPr>
          <w:rFonts w:ascii="Times New Roman" w:eastAsia="Times New Roman" w:hAnsi="Times New Roman" w:cs="Times New Roman"/>
          <w:color w:val="000000" w:themeColor="text1"/>
          <w:sz w:val="24"/>
          <w:szCs w:val="24"/>
        </w:rPr>
        <w:t xml:space="preserve">is an </w:t>
      </w:r>
      <w:proofErr w:type="gramStart"/>
      <w:r w:rsidRPr="269F0BBB">
        <w:rPr>
          <w:rFonts w:ascii="Times New Roman" w:eastAsia="Times New Roman" w:hAnsi="Times New Roman" w:cs="Times New Roman"/>
          <w:color w:val="000000" w:themeColor="text1"/>
          <w:sz w:val="24"/>
          <w:szCs w:val="24"/>
        </w:rPr>
        <w:t>assessment annually approved</w:t>
      </w:r>
      <w:proofErr w:type="gramEnd"/>
      <w:r w:rsidRPr="269F0BBB">
        <w:rPr>
          <w:rFonts w:ascii="Times New Roman" w:eastAsia="Times New Roman" w:hAnsi="Times New Roman" w:cs="Times New Roman"/>
          <w:color w:val="000000" w:themeColor="text1"/>
          <w:sz w:val="24"/>
          <w:szCs w:val="24"/>
        </w:rPr>
        <w:t xml:space="preserve"> by the Department of Energy (DOE) that funds research and development work selected by the Laboratory’s Director of </w:t>
      </w:r>
      <w:proofErr w:type="gramStart"/>
      <w:r w:rsidRPr="269F0BBB">
        <w:rPr>
          <w:rFonts w:ascii="Times New Roman" w:eastAsia="Times New Roman" w:hAnsi="Times New Roman" w:cs="Times New Roman"/>
          <w:color w:val="000000" w:themeColor="text1"/>
          <w:sz w:val="24"/>
          <w:szCs w:val="24"/>
        </w:rPr>
        <w:t>designee</w:t>
      </w:r>
      <w:proofErr w:type="gramEnd"/>
      <w:r w:rsidRPr="269F0BBB">
        <w:rPr>
          <w:rFonts w:ascii="Times New Roman" w:eastAsia="Times New Roman" w:hAnsi="Times New Roman" w:cs="Times New Roman"/>
          <w:color w:val="000000" w:themeColor="text1"/>
          <w:sz w:val="24"/>
          <w:szCs w:val="24"/>
        </w:rPr>
        <w:t>.</w:t>
      </w:r>
    </w:p>
    <w:p w14:paraId="5C8BC773" w14:textId="2A8D8780"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b/>
          <w:bCs/>
          <w:color w:val="000000" w:themeColor="text1"/>
          <w:sz w:val="24"/>
          <w:szCs w:val="24"/>
        </w:rPr>
        <w:t xml:space="preserve">Safeguards and Security Charge (S&amp;S) </w:t>
      </w:r>
      <w:r w:rsidRPr="269F0BBB">
        <w:rPr>
          <w:rFonts w:ascii="Times New Roman" w:eastAsia="Times New Roman" w:hAnsi="Times New Roman" w:cs="Times New Roman"/>
          <w:color w:val="000000" w:themeColor="text1"/>
          <w:sz w:val="24"/>
          <w:szCs w:val="24"/>
        </w:rPr>
        <w:t>is utilized as a mechanism to offset LLNL direct funded S&amp;S, Cyber Security (CS), and Hazardous Waste Charge (HWC) costs. Each of the 3 direct funded efforts calculate their contribution to the consolidated S&amp;S pool by their respective ratio of non-DOE Work-for-Other (WFO) and Agreements for Commercializing Technology (ACT) project labor costs divided by total direct labor and LDRD labor costs multiplied by their applicable direct funded base. The rate is allocated to non-DOE WFO and ACT projects and represents the non-DOE WFO and ACT programs’ share of LLNL’s S&amp;S, CS, and HWC costs.</w:t>
      </w:r>
    </w:p>
    <w:p w14:paraId="611AD2D1" w14:textId="06BADA01"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b/>
          <w:bCs/>
          <w:color w:val="000000" w:themeColor="text1"/>
          <w:sz w:val="24"/>
          <w:szCs w:val="24"/>
        </w:rPr>
        <w:t xml:space="preserve">Management Fee </w:t>
      </w:r>
      <w:r w:rsidRPr="269F0BBB">
        <w:rPr>
          <w:rFonts w:ascii="Times New Roman" w:eastAsia="Times New Roman" w:hAnsi="Times New Roman" w:cs="Times New Roman"/>
          <w:color w:val="000000" w:themeColor="text1"/>
          <w:sz w:val="24"/>
          <w:szCs w:val="24"/>
        </w:rPr>
        <w:t xml:space="preserve">is paid to </w:t>
      </w:r>
      <w:proofErr w:type="gramStart"/>
      <w:r w:rsidRPr="269F0BBB">
        <w:rPr>
          <w:rFonts w:ascii="Times New Roman" w:eastAsia="Times New Roman" w:hAnsi="Times New Roman" w:cs="Times New Roman"/>
          <w:color w:val="000000" w:themeColor="text1"/>
          <w:sz w:val="24"/>
          <w:szCs w:val="24"/>
        </w:rPr>
        <w:t>LLNS,</w:t>
      </w:r>
      <w:proofErr w:type="gramEnd"/>
      <w:r w:rsidRPr="269F0BBB">
        <w:rPr>
          <w:rFonts w:ascii="Times New Roman" w:eastAsia="Times New Roman" w:hAnsi="Times New Roman" w:cs="Times New Roman"/>
          <w:color w:val="000000" w:themeColor="text1"/>
          <w:sz w:val="24"/>
          <w:szCs w:val="24"/>
        </w:rPr>
        <w:t xml:space="preserve"> LLC for oversight and management of the Laboratory. There are three Management Fee rates:</w:t>
      </w:r>
    </w:p>
    <w:p w14:paraId="75017326" w14:textId="122DAD14"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 xml:space="preserve">1. DOE/NNSA fee rate is applied to DOE/DOE WFO/NNSA work, except for those cost estimates where fee is specifically excluded by contract. Maximum available fee is established in the contract and consists of a fixed and performance incentive portion. The fee rate will be allocated to DOE/NNSA work effort, excluding Laboratory Directed Research and Development (LDRD), projects funded by Residual Net Licensing income (royalties), Task Assignment Statements (TAS), ASC and Russian </w:t>
      </w:r>
      <w:proofErr w:type="gramStart"/>
      <w:r w:rsidRPr="269F0BBB">
        <w:rPr>
          <w:rFonts w:ascii="Times New Roman" w:eastAsia="Times New Roman" w:hAnsi="Times New Roman" w:cs="Times New Roman"/>
          <w:color w:val="000000" w:themeColor="text1"/>
          <w:sz w:val="24"/>
          <w:szCs w:val="24"/>
        </w:rPr>
        <w:t>pass through</w:t>
      </w:r>
      <w:proofErr w:type="gramEnd"/>
      <w:r w:rsidRPr="269F0BBB">
        <w:rPr>
          <w:rFonts w:ascii="Times New Roman" w:eastAsia="Times New Roman" w:hAnsi="Times New Roman" w:cs="Times New Roman"/>
          <w:color w:val="000000" w:themeColor="text1"/>
          <w:sz w:val="24"/>
          <w:szCs w:val="24"/>
        </w:rPr>
        <w:t xml:space="preserve"> procurements, and Integrated Contractor Order (ICO) procurements.</w:t>
      </w:r>
    </w:p>
    <w:p w14:paraId="13DB8023" w14:textId="2A491EE8"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269F0BBB">
        <w:rPr>
          <w:rFonts w:ascii="Times New Roman" w:eastAsia="Times New Roman" w:hAnsi="Times New Roman" w:cs="Times New Roman"/>
          <w:color w:val="000000" w:themeColor="text1"/>
          <w:sz w:val="24"/>
          <w:szCs w:val="24"/>
        </w:rPr>
        <w:t xml:space="preserve">2. Reimbursable Work fee rate is applied to non-DOE reimbursable work, including DHS. LLNL’s senior management can waive </w:t>
      </w:r>
      <w:proofErr w:type="gramStart"/>
      <w:r w:rsidRPr="269F0BBB">
        <w:rPr>
          <w:rFonts w:ascii="Times New Roman" w:eastAsia="Times New Roman" w:hAnsi="Times New Roman" w:cs="Times New Roman"/>
          <w:color w:val="000000" w:themeColor="text1"/>
          <w:sz w:val="24"/>
          <w:szCs w:val="24"/>
        </w:rPr>
        <w:t>fee</w:t>
      </w:r>
      <w:proofErr w:type="gramEnd"/>
      <w:r w:rsidRPr="269F0BBB">
        <w:rPr>
          <w:rFonts w:ascii="Times New Roman" w:eastAsia="Times New Roman" w:hAnsi="Times New Roman" w:cs="Times New Roman"/>
          <w:color w:val="000000" w:themeColor="text1"/>
          <w:sz w:val="24"/>
          <w:szCs w:val="24"/>
        </w:rPr>
        <w:t xml:space="preserve"> from non-DOE reimbursable work at their discretion. Maximum available fee is established by NNSA based on estimated WFO volume prior to the commencement of each fiscal year. The fee rate will be allocated to non-DOE reimbursable work effort. WFO Fee will not be applied to work for which fee has been waived by LLNL senior management, IPAs, Agreements for Commercializing Technology (ACT), or Integrated Contractor Order (ICO) procurements.</w:t>
      </w:r>
    </w:p>
    <w:p w14:paraId="6CC30451" w14:textId="3376D974" w:rsidR="00D150D0" w:rsidRDefault="7C93C2DD" w:rsidP="269F0B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pPr>
      <w:r w:rsidRPr="269F0BBB">
        <w:rPr>
          <w:rFonts w:ascii="Times New Roman" w:eastAsia="Times New Roman" w:hAnsi="Times New Roman" w:cs="Times New Roman"/>
          <w:color w:val="000000" w:themeColor="text1"/>
          <w:sz w:val="24"/>
          <w:szCs w:val="24"/>
        </w:rPr>
        <w:t xml:space="preserve">3. Agreements for Commercializing Technology (ACT) fee </w:t>
      </w:r>
      <w:proofErr w:type="gramStart"/>
      <w:r w:rsidRPr="269F0BBB">
        <w:rPr>
          <w:rFonts w:ascii="Times New Roman" w:eastAsia="Times New Roman" w:hAnsi="Times New Roman" w:cs="Times New Roman"/>
          <w:color w:val="000000" w:themeColor="text1"/>
          <w:sz w:val="24"/>
          <w:szCs w:val="24"/>
        </w:rPr>
        <w:t>is</w:t>
      </w:r>
      <w:proofErr w:type="gramEnd"/>
      <w:r w:rsidRPr="269F0BBB">
        <w:rPr>
          <w:rFonts w:ascii="Times New Roman" w:eastAsia="Times New Roman" w:hAnsi="Times New Roman" w:cs="Times New Roman"/>
          <w:color w:val="000000" w:themeColor="text1"/>
          <w:sz w:val="24"/>
          <w:szCs w:val="24"/>
        </w:rPr>
        <w:t xml:space="preserve"> made to LLNS to assume indemnification and liability associated with the management of the ACT agreements. ACT Fee is negotiated between LLNS and the commercial </w:t>
      </w:r>
      <w:proofErr w:type="gramStart"/>
      <w:r w:rsidRPr="269F0BBB">
        <w:rPr>
          <w:rFonts w:ascii="Times New Roman" w:eastAsia="Times New Roman" w:hAnsi="Times New Roman" w:cs="Times New Roman"/>
          <w:color w:val="000000" w:themeColor="text1"/>
          <w:sz w:val="24"/>
          <w:szCs w:val="24"/>
        </w:rPr>
        <w:t>entity, and</w:t>
      </w:r>
      <w:proofErr w:type="gramEnd"/>
      <w:r w:rsidRPr="269F0BBB">
        <w:rPr>
          <w:rFonts w:ascii="Times New Roman" w:eastAsia="Times New Roman" w:hAnsi="Times New Roman" w:cs="Times New Roman"/>
          <w:color w:val="000000" w:themeColor="text1"/>
          <w:sz w:val="24"/>
          <w:szCs w:val="24"/>
        </w:rPr>
        <w:t xml:space="preserve"> allocated to ACT agreements. To meet DOE requirements, ACT Fee will not be reported in DOE’s Standard Accounting and Reporting System (STARS). ACT Fee will not be assessed on the Federal Administrative Charge (FAC).</w:t>
      </w:r>
    </w:p>
    <w:p w14:paraId="79625C03" w14:textId="263A983A" w:rsidR="00D150D0" w:rsidRDefault="7C93C2DD" w:rsidP="269F0BBB">
      <w:pPr>
        <w:spacing w:after="120"/>
      </w:pPr>
      <w:r w:rsidRPr="24F1A720">
        <w:rPr>
          <w:rFonts w:ascii="Times New Roman" w:eastAsia="Times New Roman" w:hAnsi="Times New Roman" w:cs="Times New Roman"/>
          <w:b/>
          <w:bCs/>
          <w:color w:val="000000" w:themeColor="text1"/>
          <w:sz w:val="24"/>
          <w:szCs w:val="24"/>
        </w:rPr>
        <w:t xml:space="preserve">DOE Federal Administrative Charge (FAC) </w:t>
      </w:r>
      <w:r w:rsidRPr="24F1A720">
        <w:rPr>
          <w:rFonts w:ascii="Times New Roman" w:eastAsia="Times New Roman" w:hAnsi="Times New Roman" w:cs="Times New Roman"/>
          <w:color w:val="000000" w:themeColor="text1"/>
          <w:sz w:val="24"/>
          <w:szCs w:val="24"/>
        </w:rPr>
        <w:t>represents an allocation of DOE’s depreciation and administrative costs (according to full cost recovery provisions) to non-DOE funded projects. FAC is allocated on total costs, including all overhead costs and G&amp;A. FAC is applied to non-DOE funded projects. FAC is not assessed on DHS work.</w:t>
      </w:r>
    </w:p>
    <w:p w14:paraId="7323B8C9" w14:textId="60818619" w:rsidR="00D150D0" w:rsidRDefault="00D150D0" w:rsidP="00D150D0">
      <w:pPr>
        <w:rPr>
          <w:color w:val="0070C0"/>
        </w:rPr>
      </w:pPr>
    </w:p>
    <w:sectPr w:rsidR="00D150D0" w:rsidSect="001D4AE2">
      <w:footerReference w:type="default" r:id="rId8"/>
      <w:pgSz w:w="12240" w:h="15840" w:code="1"/>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A833B" w14:textId="77777777" w:rsidR="00184E87" w:rsidRDefault="00184E87">
      <w:r>
        <w:separator/>
      </w:r>
    </w:p>
  </w:endnote>
  <w:endnote w:type="continuationSeparator" w:id="0">
    <w:p w14:paraId="117784BE" w14:textId="77777777" w:rsidR="00184E87" w:rsidRDefault="0018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5932" w14:textId="77777777" w:rsidR="007E4C1F" w:rsidRDefault="007E4C1F">
    <w:pPr>
      <w:pStyle w:val="BodyText"/>
      <w:spacing w:line="14" w:lineRule="auto"/>
      <w:rPr>
        <w:sz w:val="20"/>
      </w:rPr>
    </w:pPr>
    <w:r>
      <w:rPr>
        <w:noProof/>
      </w:rPr>
      <mc:AlternateContent>
        <mc:Choice Requires="wps">
          <w:drawing>
            <wp:anchor distT="0" distB="0" distL="114300" distR="114300" simplePos="0" relativeHeight="503288288" behindDoc="1" locked="0" layoutInCell="1" allowOverlap="1" wp14:anchorId="76525193" wp14:editId="66E98097">
              <wp:simplePos x="0" y="0"/>
              <wp:positionH relativeFrom="page">
                <wp:posOffset>6964070</wp:posOffset>
              </wp:positionH>
              <wp:positionV relativeFrom="page">
                <wp:posOffset>9429293</wp:posOffset>
              </wp:positionV>
              <wp:extent cx="377317" cy="180975"/>
              <wp:effectExtent l="0" t="0" r="3810" b="9525"/>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7317"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1E691" w14:textId="77777777" w:rsidR="007E4C1F" w:rsidRDefault="007E4C1F">
                          <w:pPr>
                            <w:spacing w:before="11"/>
                            <w:ind w:left="40"/>
                            <w:rPr>
                              <w:rFonts w:ascii="Times New Roman"/>
                            </w:rPr>
                          </w:pPr>
                          <w:r>
                            <w:fldChar w:fldCharType="begin"/>
                          </w:r>
                          <w:r>
                            <w:rPr>
                              <w:rFonts w:ascii="Times New Roman"/>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525193" id="_x0000_t202" coordsize="21600,21600" o:spt="202" path="m,l,21600r21600,l21600,xe">
              <v:stroke joinstyle="miter"/>
              <v:path gradientshapeok="t" o:connecttype="rect"/>
            </v:shapetype>
            <v:shape id="Text Box 1" o:spid="_x0000_s1026" type="#_x0000_t202" style="position:absolute;margin-left:548.35pt;margin-top:742.45pt;width:29.7pt;height:14.25pt;z-index:-2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" filled="f" stroked="f">
              <v:path arrowok="t"/>
              <v:textbox inset="0,0,0,0">
                <w:txbxContent>
                  <w:p w14:paraId="22D1E691" w14:textId="77777777" w:rsidR="007E4C1F" w:rsidRDefault="007E4C1F">
                    <w:pPr>
                      <w:spacing w:before="11"/>
                      <w:ind w:left="40"/>
                      <w:rPr>
                        <w:rFonts w:ascii="Times New Roman"/>
                      </w:rPr>
                    </w:pPr>
                    <w:r>
                      <w:fldChar w:fldCharType="begin"/>
                    </w:r>
                    <w:r>
                      <w:rPr>
                        <w:rFonts w:ascii="Times New Roman"/>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4FB6" w14:textId="77777777" w:rsidR="00184E87" w:rsidRDefault="00184E87">
      <w:r>
        <w:separator/>
      </w:r>
    </w:p>
  </w:footnote>
  <w:footnote w:type="continuationSeparator" w:id="0">
    <w:p w14:paraId="25AB7DBA" w14:textId="77777777" w:rsidR="00184E87" w:rsidRDefault="00184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E28"/>
    <w:multiLevelType w:val="hybridMultilevel"/>
    <w:tmpl w:val="9E9A2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A2BA9"/>
    <w:multiLevelType w:val="hybridMultilevel"/>
    <w:tmpl w:val="59022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134D8"/>
    <w:multiLevelType w:val="hybridMultilevel"/>
    <w:tmpl w:val="C540A316"/>
    <w:lvl w:ilvl="0" w:tplc="B242173C">
      <w:start w:val="2"/>
      <w:numFmt w:val="upperLetter"/>
      <w:lvlText w:val="%1."/>
      <w:lvlJc w:val="left"/>
      <w:pPr>
        <w:ind w:left="480" w:hanging="360"/>
      </w:pPr>
      <w:rPr>
        <w:rFonts w:hint="default"/>
        <w:color w:val="4F81BD"/>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 w15:restartNumberingAfterBreak="0">
    <w:nsid w:val="0AB3155B"/>
    <w:multiLevelType w:val="hybridMultilevel"/>
    <w:tmpl w:val="895AE318"/>
    <w:lvl w:ilvl="0" w:tplc="C9EAA7E8">
      <w:start w:val="1"/>
      <w:numFmt w:val="decimal"/>
      <w:lvlText w:val="%1."/>
      <w:lvlJc w:val="left"/>
      <w:pPr>
        <w:ind w:left="820" w:hanging="360"/>
      </w:pPr>
      <w:rPr>
        <w:rFonts w:ascii="Arial Narrow" w:eastAsia="Cambria" w:hAnsi="Arial Narrow" w:cs="Cambria" w:hint="default"/>
        <w:color w:val="4F81BD" w:themeColor="accent1"/>
        <w:spacing w:val="-1"/>
        <w:w w:val="100"/>
        <w:sz w:val="26"/>
        <w:szCs w:val="26"/>
      </w:rPr>
    </w:lvl>
    <w:lvl w:ilvl="1" w:tplc="B6648B70">
      <w:numFmt w:val="bullet"/>
      <w:lvlText w:val="•"/>
      <w:lvlJc w:val="left"/>
      <w:pPr>
        <w:ind w:left="1694" w:hanging="360"/>
      </w:pPr>
      <w:rPr>
        <w:rFonts w:hint="default"/>
      </w:rPr>
    </w:lvl>
    <w:lvl w:ilvl="2" w:tplc="EB048B9C">
      <w:numFmt w:val="bullet"/>
      <w:lvlText w:val="•"/>
      <w:lvlJc w:val="left"/>
      <w:pPr>
        <w:ind w:left="2568" w:hanging="360"/>
      </w:pPr>
      <w:rPr>
        <w:rFonts w:hint="default"/>
      </w:rPr>
    </w:lvl>
    <w:lvl w:ilvl="3" w:tplc="8926F4D2">
      <w:numFmt w:val="bullet"/>
      <w:lvlText w:val="•"/>
      <w:lvlJc w:val="left"/>
      <w:pPr>
        <w:ind w:left="3442" w:hanging="360"/>
      </w:pPr>
      <w:rPr>
        <w:rFonts w:hint="default"/>
      </w:rPr>
    </w:lvl>
    <w:lvl w:ilvl="4" w:tplc="B1FEE3F2">
      <w:numFmt w:val="bullet"/>
      <w:lvlText w:val="•"/>
      <w:lvlJc w:val="left"/>
      <w:pPr>
        <w:ind w:left="4316" w:hanging="360"/>
      </w:pPr>
      <w:rPr>
        <w:rFonts w:hint="default"/>
      </w:rPr>
    </w:lvl>
    <w:lvl w:ilvl="5" w:tplc="546E911A">
      <w:numFmt w:val="bullet"/>
      <w:lvlText w:val="•"/>
      <w:lvlJc w:val="left"/>
      <w:pPr>
        <w:ind w:left="5190" w:hanging="360"/>
      </w:pPr>
      <w:rPr>
        <w:rFonts w:hint="default"/>
      </w:rPr>
    </w:lvl>
    <w:lvl w:ilvl="6" w:tplc="0D98DF72">
      <w:numFmt w:val="bullet"/>
      <w:lvlText w:val="•"/>
      <w:lvlJc w:val="left"/>
      <w:pPr>
        <w:ind w:left="6064" w:hanging="360"/>
      </w:pPr>
      <w:rPr>
        <w:rFonts w:hint="default"/>
      </w:rPr>
    </w:lvl>
    <w:lvl w:ilvl="7" w:tplc="BEFA34D8">
      <w:numFmt w:val="bullet"/>
      <w:lvlText w:val="•"/>
      <w:lvlJc w:val="left"/>
      <w:pPr>
        <w:ind w:left="6938" w:hanging="360"/>
      </w:pPr>
      <w:rPr>
        <w:rFonts w:hint="default"/>
      </w:rPr>
    </w:lvl>
    <w:lvl w:ilvl="8" w:tplc="BABE8032">
      <w:numFmt w:val="bullet"/>
      <w:lvlText w:val="•"/>
      <w:lvlJc w:val="left"/>
      <w:pPr>
        <w:ind w:left="7812" w:hanging="360"/>
      </w:pPr>
      <w:rPr>
        <w:rFonts w:hint="default"/>
      </w:rPr>
    </w:lvl>
  </w:abstractNum>
  <w:abstractNum w:abstractNumId="4" w15:restartNumberingAfterBreak="0">
    <w:nsid w:val="0B3D5417"/>
    <w:multiLevelType w:val="hybridMultilevel"/>
    <w:tmpl w:val="F7EA95C4"/>
    <w:lvl w:ilvl="0" w:tplc="1DF4789A">
      <w:start w:val="1"/>
      <w:numFmt w:val="upperLetter"/>
      <w:lvlText w:val="%1."/>
      <w:lvlJc w:val="left"/>
      <w:pPr>
        <w:ind w:left="587" w:hanging="317"/>
      </w:pPr>
      <w:rPr>
        <w:rFonts w:ascii="Arial" w:eastAsia="Arial" w:hAnsi="Arial" w:cs="Arial" w:hint="default"/>
        <w:b w:val="0"/>
        <w:color w:val="4F81BD"/>
        <w:w w:val="99"/>
        <w:sz w:val="26"/>
        <w:szCs w:val="26"/>
      </w:rPr>
    </w:lvl>
    <w:lvl w:ilvl="1" w:tplc="66007EBE">
      <w:start w:val="1"/>
      <w:numFmt w:val="decimal"/>
      <w:lvlText w:val="%2."/>
      <w:lvlJc w:val="left"/>
      <w:pPr>
        <w:ind w:left="990" w:hanging="360"/>
      </w:pPr>
      <w:rPr>
        <w:rFonts w:ascii="Cambria" w:eastAsia="Cambria" w:hAnsi="Cambria" w:cs="Cambria" w:hint="default"/>
        <w:color w:val="A50021"/>
        <w:spacing w:val="-2"/>
        <w:w w:val="100"/>
        <w:sz w:val="24"/>
        <w:szCs w:val="24"/>
      </w:rPr>
    </w:lvl>
    <w:lvl w:ilvl="2" w:tplc="E6E460AE">
      <w:numFmt w:val="bullet"/>
      <w:lvlText w:val="•"/>
      <w:lvlJc w:val="left"/>
      <w:pPr>
        <w:ind w:left="1963" w:hanging="360"/>
      </w:pPr>
      <w:rPr>
        <w:rFonts w:hint="default"/>
      </w:rPr>
    </w:lvl>
    <w:lvl w:ilvl="3" w:tplc="4E8829A8">
      <w:numFmt w:val="bullet"/>
      <w:lvlText w:val="•"/>
      <w:lvlJc w:val="left"/>
      <w:pPr>
        <w:ind w:left="2936" w:hanging="360"/>
      </w:pPr>
      <w:rPr>
        <w:rFonts w:hint="default"/>
      </w:rPr>
    </w:lvl>
    <w:lvl w:ilvl="4" w:tplc="778CA436">
      <w:numFmt w:val="bullet"/>
      <w:lvlText w:val="•"/>
      <w:lvlJc w:val="left"/>
      <w:pPr>
        <w:ind w:left="3910" w:hanging="360"/>
      </w:pPr>
      <w:rPr>
        <w:rFonts w:hint="default"/>
      </w:rPr>
    </w:lvl>
    <w:lvl w:ilvl="5" w:tplc="30E08754">
      <w:numFmt w:val="bullet"/>
      <w:lvlText w:val="•"/>
      <w:lvlJc w:val="left"/>
      <w:pPr>
        <w:ind w:left="4883" w:hanging="360"/>
      </w:pPr>
      <w:rPr>
        <w:rFonts w:hint="default"/>
      </w:rPr>
    </w:lvl>
    <w:lvl w:ilvl="6" w:tplc="006ED266">
      <w:numFmt w:val="bullet"/>
      <w:lvlText w:val="•"/>
      <w:lvlJc w:val="left"/>
      <w:pPr>
        <w:ind w:left="5856" w:hanging="360"/>
      </w:pPr>
      <w:rPr>
        <w:rFonts w:hint="default"/>
      </w:rPr>
    </w:lvl>
    <w:lvl w:ilvl="7" w:tplc="3EFA7B3E">
      <w:numFmt w:val="bullet"/>
      <w:lvlText w:val="•"/>
      <w:lvlJc w:val="left"/>
      <w:pPr>
        <w:ind w:left="6830" w:hanging="360"/>
      </w:pPr>
      <w:rPr>
        <w:rFonts w:hint="default"/>
      </w:rPr>
    </w:lvl>
    <w:lvl w:ilvl="8" w:tplc="93DE508A">
      <w:numFmt w:val="bullet"/>
      <w:lvlText w:val="•"/>
      <w:lvlJc w:val="left"/>
      <w:pPr>
        <w:ind w:left="7803" w:hanging="360"/>
      </w:pPr>
      <w:rPr>
        <w:rFonts w:hint="default"/>
      </w:rPr>
    </w:lvl>
  </w:abstractNum>
  <w:abstractNum w:abstractNumId="5" w15:restartNumberingAfterBreak="0">
    <w:nsid w:val="0C316475"/>
    <w:multiLevelType w:val="hybridMultilevel"/>
    <w:tmpl w:val="6CA2F46E"/>
    <w:lvl w:ilvl="0" w:tplc="1CF8D02A">
      <w:start w:val="9"/>
      <w:numFmt w:val="upperLetter"/>
      <w:lvlText w:val="%1."/>
      <w:lvlJc w:val="left"/>
      <w:pPr>
        <w:ind w:left="450" w:hanging="360"/>
      </w:pPr>
      <w:rPr>
        <w:rFonts w:hint="default"/>
        <w:color w:val="4F81BD"/>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F282720"/>
    <w:multiLevelType w:val="hybridMultilevel"/>
    <w:tmpl w:val="6B24AA58"/>
    <w:lvl w:ilvl="0" w:tplc="8B420334">
      <w:start w:val="2"/>
      <w:numFmt w:val="upperLetter"/>
      <w:lvlText w:val="%1."/>
      <w:lvlJc w:val="left"/>
      <w:pPr>
        <w:ind w:left="480" w:hanging="360"/>
      </w:pPr>
      <w:rPr>
        <w:rFonts w:ascii="Arial" w:hAnsi="Arial" w:cs="Arial" w:hint="default"/>
        <w:color w:val="4F81BD"/>
        <w:sz w:val="26"/>
        <w:szCs w:val="26"/>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11B87F73"/>
    <w:multiLevelType w:val="hybridMultilevel"/>
    <w:tmpl w:val="A1EC6F10"/>
    <w:lvl w:ilvl="0" w:tplc="B242173C">
      <w:start w:val="2"/>
      <w:numFmt w:val="upperLetter"/>
      <w:lvlText w:val="%1."/>
      <w:lvlJc w:val="left"/>
      <w:pPr>
        <w:ind w:left="480" w:hanging="360"/>
      </w:pPr>
      <w:rPr>
        <w:rFonts w:hint="default"/>
        <w:color w:val="4F81BD"/>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8" w15:restartNumberingAfterBreak="0">
    <w:nsid w:val="11E653ED"/>
    <w:multiLevelType w:val="hybridMultilevel"/>
    <w:tmpl w:val="6CA2F46E"/>
    <w:lvl w:ilvl="0" w:tplc="1CF8D02A">
      <w:start w:val="9"/>
      <w:numFmt w:val="upperLetter"/>
      <w:lvlText w:val="%1."/>
      <w:lvlJc w:val="left"/>
      <w:pPr>
        <w:ind w:left="450" w:hanging="360"/>
      </w:pPr>
      <w:rPr>
        <w:rFonts w:hint="default"/>
        <w:color w:val="4F81BD"/>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139D1F63"/>
    <w:multiLevelType w:val="hybridMultilevel"/>
    <w:tmpl w:val="13783202"/>
    <w:lvl w:ilvl="0" w:tplc="58BA7106">
      <w:start w:val="1"/>
      <w:numFmt w:val="upperLetter"/>
      <w:lvlText w:val="%1."/>
      <w:lvlJc w:val="left"/>
      <w:pPr>
        <w:ind w:left="437" w:hanging="317"/>
      </w:pPr>
      <w:rPr>
        <w:rFonts w:ascii="Arial" w:eastAsia="Arial" w:hAnsi="Arial" w:cs="Arial" w:hint="default"/>
        <w:color w:val="4F81BD"/>
        <w:w w:val="99"/>
        <w:sz w:val="26"/>
        <w:szCs w:val="26"/>
      </w:rPr>
    </w:lvl>
    <w:lvl w:ilvl="1" w:tplc="FFF26B20">
      <w:start w:val="1"/>
      <w:numFmt w:val="decimal"/>
      <w:lvlText w:val="%2."/>
      <w:lvlJc w:val="left"/>
      <w:pPr>
        <w:ind w:left="720" w:hanging="360"/>
      </w:pPr>
      <w:rPr>
        <w:rFonts w:ascii="Cambria" w:eastAsia="Cambria" w:hAnsi="Cambria" w:cs="Cambria" w:hint="default"/>
        <w:color w:val="4F81BD" w:themeColor="accent1"/>
        <w:spacing w:val="-2"/>
        <w:w w:val="100"/>
        <w:sz w:val="24"/>
        <w:szCs w:val="24"/>
      </w:rPr>
    </w:lvl>
    <w:lvl w:ilvl="2" w:tplc="E6E460AE">
      <w:numFmt w:val="bullet"/>
      <w:lvlText w:val="•"/>
      <w:lvlJc w:val="left"/>
      <w:pPr>
        <w:ind w:left="1813" w:hanging="360"/>
      </w:pPr>
      <w:rPr>
        <w:rFonts w:hint="default"/>
      </w:rPr>
    </w:lvl>
    <w:lvl w:ilvl="3" w:tplc="4E8829A8">
      <w:numFmt w:val="bullet"/>
      <w:lvlText w:val="•"/>
      <w:lvlJc w:val="left"/>
      <w:pPr>
        <w:ind w:left="2786" w:hanging="360"/>
      </w:pPr>
      <w:rPr>
        <w:rFonts w:hint="default"/>
      </w:rPr>
    </w:lvl>
    <w:lvl w:ilvl="4" w:tplc="778CA436">
      <w:numFmt w:val="bullet"/>
      <w:lvlText w:val="•"/>
      <w:lvlJc w:val="left"/>
      <w:pPr>
        <w:ind w:left="3760" w:hanging="360"/>
      </w:pPr>
      <w:rPr>
        <w:rFonts w:hint="default"/>
      </w:rPr>
    </w:lvl>
    <w:lvl w:ilvl="5" w:tplc="30E08754">
      <w:numFmt w:val="bullet"/>
      <w:lvlText w:val="•"/>
      <w:lvlJc w:val="left"/>
      <w:pPr>
        <w:ind w:left="4733" w:hanging="360"/>
      </w:pPr>
      <w:rPr>
        <w:rFonts w:hint="default"/>
      </w:rPr>
    </w:lvl>
    <w:lvl w:ilvl="6" w:tplc="006ED266">
      <w:numFmt w:val="bullet"/>
      <w:lvlText w:val="•"/>
      <w:lvlJc w:val="left"/>
      <w:pPr>
        <w:ind w:left="5706" w:hanging="360"/>
      </w:pPr>
      <w:rPr>
        <w:rFonts w:hint="default"/>
      </w:rPr>
    </w:lvl>
    <w:lvl w:ilvl="7" w:tplc="3EFA7B3E">
      <w:numFmt w:val="bullet"/>
      <w:lvlText w:val="•"/>
      <w:lvlJc w:val="left"/>
      <w:pPr>
        <w:ind w:left="6680" w:hanging="360"/>
      </w:pPr>
      <w:rPr>
        <w:rFonts w:hint="default"/>
      </w:rPr>
    </w:lvl>
    <w:lvl w:ilvl="8" w:tplc="93DE508A">
      <w:numFmt w:val="bullet"/>
      <w:lvlText w:val="•"/>
      <w:lvlJc w:val="left"/>
      <w:pPr>
        <w:ind w:left="7653" w:hanging="360"/>
      </w:pPr>
      <w:rPr>
        <w:rFonts w:hint="default"/>
      </w:rPr>
    </w:lvl>
  </w:abstractNum>
  <w:abstractNum w:abstractNumId="10" w15:restartNumberingAfterBreak="0">
    <w:nsid w:val="140F4630"/>
    <w:multiLevelType w:val="hybridMultilevel"/>
    <w:tmpl w:val="CC0431F0"/>
    <w:lvl w:ilvl="0" w:tplc="F424AAC4">
      <w:start w:val="5"/>
      <w:numFmt w:val="upperLetter"/>
      <w:lvlText w:val="%1."/>
      <w:lvlJc w:val="left"/>
      <w:pPr>
        <w:ind w:left="1180" w:hanging="360"/>
      </w:pPr>
      <w:rPr>
        <w:rFonts w:ascii="Arial" w:eastAsia="Arial" w:hAnsi="Arial" w:cs="Arial" w:hint="default"/>
        <w:color w:val="4F81BD"/>
        <w:w w:val="99"/>
        <w:sz w:val="26"/>
        <w:szCs w:val="26"/>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1" w15:restartNumberingAfterBreak="0">
    <w:nsid w:val="14217274"/>
    <w:multiLevelType w:val="hybridMultilevel"/>
    <w:tmpl w:val="6CA2F46E"/>
    <w:lvl w:ilvl="0" w:tplc="1CF8D02A">
      <w:start w:val="9"/>
      <w:numFmt w:val="upperLetter"/>
      <w:lvlText w:val="%1."/>
      <w:lvlJc w:val="left"/>
      <w:pPr>
        <w:ind w:left="450" w:hanging="360"/>
      </w:pPr>
      <w:rPr>
        <w:rFonts w:hint="default"/>
        <w:color w:val="4F81BD"/>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16155E2F"/>
    <w:multiLevelType w:val="multilevel"/>
    <w:tmpl w:val="968E37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89B2C6F"/>
    <w:multiLevelType w:val="hybridMultilevel"/>
    <w:tmpl w:val="BC409386"/>
    <w:lvl w:ilvl="0" w:tplc="FBAA455A">
      <w:start w:val="1"/>
      <w:numFmt w:val="upperLetter"/>
      <w:lvlText w:val="%1."/>
      <w:lvlJc w:val="left"/>
      <w:pPr>
        <w:ind w:left="540" w:hanging="360"/>
      </w:pPr>
      <w:rPr>
        <w:rFonts w:ascii="Arial" w:hAnsi="Arial" w:cs="Arial" w:hint="default"/>
        <w:b w:val="0"/>
        <w:color w:val="4F81BD" w:themeColor="accent1"/>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1DDE0C7C"/>
    <w:multiLevelType w:val="hybridMultilevel"/>
    <w:tmpl w:val="BBECCC3A"/>
    <w:lvl w:ilvl="0" w:tplc="0C0EEE40">
      <w:start w:val="1"/>
      <w:numFmt w:val="upperLetter"/>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5" w15:restartNumberingAfterBreak="0">
    <w:nsid w:val="2B3725AE"/>
    <w:multiLevelType w:val="hybridMultilevel"/>
    <w:tmpl w:val="13783202"/>
    <w:lvl w:ilvl="0" w:tplc="58BA7106">
      <w:start w:val="1"/>
      <w:numFmt w:val="upperLetter"/>
      <w:lvlText w:val="%1."/>
      <w:lvlJc w:val="left"/>
      <w:pPr>
        <w:ind w:left="437" w:hanging="317"/>
      </w:pPr>
      <w:rPr>
        <w:rFonts w:ascii="Arial" w:eastAsia="Arial" w:hAnsi="Arial" w:cs="Arial" w:hint="default"/>
        <w:color w:val="4F81BD"/>
        <w:w w:val="99"/>
        <w:sz w:val="26"/>
        <w:szCs w:val="26"/>
      </w:rPr>
    </w:lvl>
    <w:lvl w:ilvl="1" w:tplc="FFF26B20">
      <w:start w:val="1"/>
      <w:numFmt w:val="decimal"/>
      <w:lvlText w:val="%2."/>
      <w:lvlJc w:val="left"/>
      <w:pPr>
        <w:ind w:left="720" w:hanging="360"/>
      </w:pPr>
      <w:rPr>
        <w:rFonts w:ascii="Cambria" w:eastAsia="Cambria" w:hAnsi="Cambria" w:cs="Cambria" w:hint="default"/>
        <w:color w:val="4F81BD" w:themeColor="accent1"/>
        <w:spacing w:val="-2"/>
        <w:w w:val="100"/>
        <w:sz w:val="24"/>
        <w:szCs w:val="24"/>
      </w:rPr>
    </w:lvl>
    <w:lvl w:ilvl="2" w:tplc="E6E460AE">
      <w:numFmt w:val="bullet"/>
      <w:lvlText w:val="•"/>
      <w:lvlJc w:val="left"/>
      <w:pPr>
        <w:ind w:left="1813" w:hanging="360"/>
      </w:pPr>
      <w:rPr>
        <w:rFonts w:hint="default"/>
      </w:rPr>
    </w:lvl>
    <w:lvl w:ilvl="3" w:tplc="4E8829A8">
      <w:numFmt w:val="bullet"/>
      <w:lvlText w:val="•"/>
      <w:lvlJc w:val="left"/>
      <w:pPr>
        <w:ind w:left="2786" w:hanging="360"/>
      </w:pPr>
      <w:rPr>
        <w:rFonts w:hint="default"/>
      </w:rPr>
    </w:lvl>
    <w:lvl w:ilvl="4" w:tplc="778CA436">
      <w:numFmt w:val="bullet"/>
      <w:lvlText w:val="•"/>
      <w:lvlJc w:val="left"/>
      <w:pPr>
        <w:ind w:left="3760" w:hanging="360"/>
      </w:pPr>
      <w:rPr>
        <w:rFonts w:hint="default"/>
      </w:rPr>
    </w:lvl>
    <w:lvl w:ilvl="5" w:tplc="30E08754">
      <w:numFmt w:val="bullet"/>
      <w:lvlText w:val="•"/>
      <w:lvlJc w:val="left"/>
      <w:pPr>
        <w:ind w:left="4733" w:hanging="360"/>
      </w:pPr>
      <w:rPr>
        <w:rFonts w:hint="default"/>
      </w:rPr>
    </w:lvl>
    <w:lvl w:ilvl="6" w:tplc="006ED266">
      <w:numFmt w:val="bullet"/>
      <w:lvlText w:val="•"/>
      <w:lvlJc w:val="left"/>
      <w:pPr>
        <w:ind w:left="5706" w:hanging="360"/>
      </w:pPr>
      <w:rPr>
        <w:rFonts w:hint="default"/>
      </w:rPr>
    </w:lvl>
    <w:lvl w:ilvl="7" w:tplc="3EFA7B3E">
      <w:numFmt w:val="bullet"/>
      <w:lvlText w:val="•"/>
      <w:lvlJc w:val="left"/>
      <w:pPr>
        <w:ind w:left="6680" w:hanging="360"/>
      </w:pPr>
      <w:rPr>
        <w:rFonts w:hint="default"/>
      </w:rPr>
    </w:lvl>
    <w:lvl w:ilvl="8" w:tplc="93DE508A">
      <w:numFmt w:val="bullet"/>
      <w:lvlText w:val="•"/>
      <w:lvlJc w:val="left"/>
      <w:pPr>
        <w:ind w:left="7653" w:hanging="360"/>
      </w:pPr>
      <w:rPr>
        <w:rFonts w:hint="default"/>
      </w:rPr>
    </w:lvl>
  </w:abstractNum>
  <w:abstractNum w:abstractNumId="16" w15:restartNumberingAfterBreak="0">
    <w:nsid w:val="32A1176C"/>
    <w:multiLevelType w:val="hybridMultilevel"/>
    <w:tmpl w:val="13783202"/>
    <w:lvl w:ilvl="0" w:tplc="58BA7106">
      <w:start w:val="1"/>
      <w:numFmt w:val="upperLetter"/>
      <w:lvlText w:val="%1."/>
      <w:lvlJc w:val="left"/>
      <w:pPr>
        <w:ind w:left="437" w:hanging="317"/>
      </w:pPr>
      <w:rPr>
        <w:rFonts w:ascii="Arial" w:eastAsia="Arial" w:hAnsi="Arial" w:cs="Arial" w:hint="default"/>
        <w:color w:val="4F81BD"/>
        <w:w w:val="99"/>
        <w:sz w:val="26"/>
        <w:szCs w:val="26"/>
      </w:rPr>
    </w:lvl>
    <w:lvl w:ilvl="1" w:tplc="FFF26B20">
      <w:start w:val="1"/>
      <w:numFmt w:val="decimal"/>
      <w:lvlText w:val="%2."/>
      <w:lvlJc w:val="left"/>
      <w:pPr>
        <w:ind w:left="720" w:hanging="360"/>
      </w:pPr>
      <w:rPr>
        <w:rFonts w:ascii="Cambria" w:eastAsia="Cambria" w:hAnsi="Cambria" w:cs="Cambria" w:hint="default"/>
        <w:color w:val="4F81BD" w:themeColor="accent1"/>
        <w:spacing w:val="-2"/>
        <w:w w:val="100"/>
        <w:sz w:val="24"/>
        <w:szCs w:val="24"/>
      </w:rPr>
    </w:lvl>
    <w:lvl w:ilvl="2" w:tplc="E6E460AE">
      <w:numFmt w:val="bullet"/>
      <w:lvlText w:val="•"/>
      <w:lvlJc w:val="left"/>
      <w:pPr>
        <w:ind w:left="1813" w:hanging="360"/>
      </w:pPr>
      <w:rPr>
        <w:rFonts w:hint="default"/>
      </w:rPr>
    </w:lvl>
    <w:lvl w:ilvl="3" w:tplc="4E8829A8">
      <w:numFmt w:val="bullet"/>
      <w:lvlText w:val="•"/>
      <w:lvlJc w:val="left"/>
      <w:pPr>
        <w:ind w:left="2786" w:hanging="360"/>
      </w:pPr>
      <w:rPr>
        <w:rFonts w:hint="default"/>
      </w:rPr>
    </w:lvl>
    <w:lvl w:ilvl="4" w:tplc="778CA436">
      <w:numFmt w:val="bullet"/>
      <w:lvlText w:val="•"/>
      <w:lvlJc w:val="left"/>
      <w:pPr>
        <w:ind w:left="3760" w:hanging="360"/>
      </w:pPr>
      <w:rPr>
        <w:rFonts w:hint="default"/>
      </w:rPr>
    </w:lvl>
    <w:lvl w:ilvl="5" w:tplc="30E08754">
      <w:numFmt w:val="bullet"/>
      <w:lvlText w:val="•"/>
      <w:lvlJc w:val="left"/>
      <w:pPr>
        <w:ind w:left="4733" w:hanging="360"/>
      </w:pPr>
      <w:rPr>
        <w:rFonts w:hint="default"/>
      </w:rPr>
    </w:lvl>
    <w:lvl w:ilvl="6" w:tplc="006ED266">
      <w:numFmt w:val="bullet"/>
      <w:lvlText w:val="•"/>
      <w:lvlJc w:val="left"/>
      <w:pPr>
        <w:ind w:left="5706" w:hanging="360"/>
      </w:pPr>
      <w:rPr>
        <w:rFonts w:hint="default"/>
      </w:rPr>
    </w:lvl>
    <w:lvl w:ilvl="7" w:tplc="3EFA7B3E">
      <w:numFmt w:val="bullet"/>
      <w:lvlText w:val="•"/>
      <w:lvlJc w:val="left"/>
      <w:pPr>
        <w:ind w:left="6680" w:hanging="360"/>
      </w:pPr>
      <w:rPr>
        <w:rFonts w:hint="default"/>
      </w:rPr>
    </w:lvl>
    <w:lvl w:ilvl="8" w:tplc="93DE508A">
      <w:numFmt w:val="bullet"/>
      <w:lvlText w:val="•"/>
      <w:lvlJc w:val="left"/>
      <w:pPr>
        <w:ind w:left="7653" w:hanging="360"/>
      </w:pPr>
      <w:rPr>
        <w:rFonts w:hint="default"/>
      </w:rPr>
    </w:lvl>
  </w:abstractNum>
  <w:abstractNum w:abstractNumId="17" w15:restartNumberingAfterBreak="0">
    <w:nsid w:val="353155AE"/>
    <w:multiLevelType w:val="hybridMultilevel"/>
    <w:tmpl w:val="6FF6A2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419DE"/>
    <w:multiLevelType w:val="hybridMultilevel"/>
    <w:tmpl w:val="6B24AA58"/>
    <w:lvl w:ilvl="0" w:tplc="8B420334">
      <w:start w:val="2"/>
      <w:numFmt w:val="upperLetter"/>
      <w:lvlText w:val="%1."/>
      <w:lvlJc w:val="left"/>
      <w:pPr>
        <w:ind w:left="480" w:hanging="360"/>
      </w:pPr>
      <w:rPr>
        <w:rFonts w:ascii="Arial" w:hAnsi="Arial" w:cs="Arial" w:hint="default"/>
        <w:color w:val="4F81BD"/>
        <w:sz w:val="26"/>
        <w:szCs w:val="26"/>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9" w15:restartNumberingAfterBreak="0">
    <w:nsid w:val="3B3936FD"/>
    <w:multiLevelType w:val="hybridMultilevel"/>
    <w:tmpl w:val="01A20736"/>
    <w:lvl w:ilvl="0" w:tplc="0409000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C91167"/>
    <w:multiLevelType w:val="hybridMultilevel"/>
    <w:tmpl w:val="6CA2F46E"/>
    <w:lvl w:ilvl="0" w:tplc="1CF8D02A">
      <w:start w:val="9"/>
      <w:numFmt w:val="upperLetter"/>
      <w:lvlText w:val="%1."/>
      <w:lvlJc w:val="left"/>
      <w:pPr>
        <w:ind w:left="720" w:hanging="360"/>
      </w:pPr>
      <w:rPr>
        <w:rFonts w:hint="default"/>
        <w:color w:val="4F81B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D12C4E"/>
    <w:multiLevelType w:val="hybridMultilevel"/>
    <w:tmpl w:val="9FC02D46"/>
    <w:lvl w:ilvl="0" w:tplc="3F32DACA">
      <w:start w:val="1"/>
      <w:numFmt w:val="decimal"/>
      <w:lvlText w:val="%1."/>
      <w:lvlJc w:val="left"/>
      <w:pPr>
        <w:ind w:left="720" w:hanging="360"/>
      </w:pPr>
      <w:rPr>
        <w:rFonts w:ascii="Arial Narrow" w:eastAsia="Cambria" w:hAnsi="Arial Narrow" w:cs="Cambria" w:hint="default"/>
        <w:color w:val="4F81BD" w:themeColor="accent1"/>
        <w:spacing w:val="-3"/>
        <w:w w:val="100"/>
        <w:sz w:val="26"/>
        <w:szCs w:val="26"/>
      </w:rPr>
    </w:lvl>
    <w:lvl w:ilvl="1" w:tplc="EBF49256">
      <w:numFmt w:val="bullet"/>
      <w:lvlText w:val="•"/>
      <w:lvlJc w:val="left"/>
      <w:pPr>
        <w:ind w:left="1594" w:hanging="360"/>
      </w:pPr>
      <w:rPr>
        <w:rFonts w:hint="default"/>
      </w:rPr>
    </w:lvl>
    <w:lvl w:ilvl="2" w:tplc="85B27258">
      <w:numFmt w:val="bullet"/>
      <w:lvlText w:val="•"/>
      <w:lvlJc w:val="left"/>
      <w:pPr>
        <w:ind w:left="2468" w:hanging="360"/>
      </w:pPr>
      <w:rPr>
        <w:rFonts w:hint="default"/>
      </w:rPr>
    </w:lvl>
    <w:lvl w:ilvl="3" w:tplc="151E8CA0">
      <w:numFmt w:val="bullet"/>
      <w:lvlText w:val="•"/>
      <w:lvlJc w:val="left"/>
      <w:pPr>
        <w:ind w:left="3342" w:hanging="360"/>
      </w:pPr>
      <w:rPr>
        <w:rFonts w:hint="default"/>
      </w:rPr>
    </w:lvl>
    <w:lvl w:ilvl="4" w:tplc="5BCE86C6">
      <w:numFmt w:val="bullet"/>
      <w:lvlText w:val="•"/>
      <w:lvlJc w:val="left"/>
      <w:pPr>
        <w:ind w:left="4216" w:hanging="360"/>
      </w:pPr>
      <w:rPr>
        <w:rFonts w:hint="default"/>
      </w:rPr>
    </w:lvl>
    <w:lvl w:ilvl="5" w:tplc="E856CF64">
      <w:numFmt w:val="bullet"/>
      <w:lvlText w:val="•"/>
      <w:lvlJc w:val="left"/>
      <w:pPr>
        <w:ind w:left="5090" w:hanging="360"/>
      </w:pPr>
      <w:rPr>
        <w:rFonts w:hint="default"/>
      </w:rPr>
    </w:lvl>
    <w:lvl w:ilvl="6" w:tplc="E8C6967C">
      <w:numFmt w:val="bullet"/>
      <w:lvlText w:val="•"/>
      <w:lvlJc w:val="left"/>
      <w:pPr>
        <w:ind w:left="5964" w:hanging="360"/>
      </w:pPr>
      <w:rPr>
        <w:rFonts w:hint="default"/>
      </w:rPr>
    </w:lvl>
    <w:lvl w:ilvl="7" w:tplc="81E80CAC">
      <w:numFmt w:val="bullet"/>
      <w:lvlText w:val="•"/>
      <w:lvlJc w:val="left"/>
      <w:pPr>
        <w:ind w:left="6838" w:hanging="360"/>
      </w:pPr>
      <w:rPr>
        <w:rFonts w:hint="default"/>
      </w:rPr>
    </w:lvl>
    <w:lvl w:ilvl="8" w:tplc="83665082">
      <w:numFmt w:val="bullet"/>
      <w:lvlText w:val="•"/>
      <w:lvlJc w:val="left"/>
      <w:pPr>
        <w:ind w:left="7712" w:hanging="360"/>
      </w:pPr>
      <w:rPr>
        <w:rFonts w:hint="default"/>
      </w:rPr>
    </w:lvl>
  </w:abstractNum>
  <w:abstractNum w:abstractNumId="22" w15:restartNumberingAfterBreak="0">
    <w:nsid w:val="4D4E627D"/>
    <w:multiLevelType w:val="hybridMultilevel"/>
    <w:tmpl w:val="5838B1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E274B4"/>
    <w:multiLevelType w:val="hybridMultilevel"/>
    <w:tmpl w:val="CDE66B4C"/>
    <w:lvl w:ilvl="0" w:tplc="F424AAC4">
      <w:start w:val="5"/>
      <w:numFmt w:val="upperLetter"/>
      <w:lvlText w:val="%1."/>
      <w:lvlJc w:val="left"/>
      <w:pPr>
        <w:ind w:left="437" w:hanging="317"/>
        <w:jc w:val="right"/>
      </w:pPr>
      <w:rPr>
        <w:rFonts w:ascii="Arial" w:eastAsia="Arial" w:hAnsi="Arial" w:cs="Arial" w:hint="default"/>
        <w:color w:val="4F81BD"/>
        <w:w w:val="99"/>
        <w:sz w:val="26"/>
        <w:szCs w:val="26"/>
      </w:rPr>
    </w:lvl>
    <w:lvl w:ilvl="1" w:tplc="5E52090C">
      <w:numFmt w:val="bullet"/>
      <w:lvlText w:val="•"/>
      <w:lvlJc w:val="left"/>
      <w:pPr>
        <w:ind w:left="1498" w:hanging="317"/>
      </w:pPr>
      <w:rPr>
        <w:rFonts w:hint="default"/>
      </w:rPr>
    </w:lvl>
    <w:lvl w:ilvl="2" w:tplc="8AA669CC">
      <w:numFmt w:val="bullet"/>
      <w:lvlText w:val="•"/>
      <w:lvlJc w:val="left"/>
      <w:pPr>
        <w:ind w:left="2556" w:hanging="317"/>
      </w:pPr>
      <w:rPr>
        <w:rFonts w:hint="default"/>
      </w:rPr>
    </w:lvl>
    <w:lvl w:ilvl="3" w:tplc="357A0226">
      <w:numFmt w:val="bullet"/>
      <w:lvlText w:val="•"/>
      <w:lvlJc w:val="left"/>
      <w:pPr>
        <w:ind w:left="3614" w:hanging="317"/>
      </w:pPr>
      <w:rPr>
        <w:rFonts w:hint="default"/>
      </w:rPr>
    </w:lvl>
    <w:lvl w:ilvl="4" w:tplc="C0FAE4D0">
      <w:numFmt w:val="bullet"/>
      <w:lvlText w:val="•"/>
      <w:lvlJc w:val="left"/>
      <w:pPr>
        <w:ind w:left="4672" w:hanging="317"/>
      </w:pPr>
      <w:rPr>
        <w:rFonts w:hint="default"/>
      </w:rPr>
    </w:lvl>
    <w:lvl w:ilvl="5" w:tplc="8C8AF640">
      <w:numFmt w:val="bullet"/>
      <w:lvlText w:val="•"/>
      <w:lvlJc w:val="left"/>
      <w:pPr>
        <w:ind w:left="5730" w:hanging="317"/>
      </w:pPr>
      <w:rPr>
        <w:rFonts w:hint="default"/>
      </w:rPr>
    </w:lvl>
    <w:lvl w:ilvl="6" w:tplc="9AFEB0CC">
      <w:numFmt w:val="bullet"/>
      <w:lvlText w:val="•"/>
      <w:lvlJc w:val="left"/>
      <w:pPr>
        <w:ind w:left="6788" w:hanging="317"/>
      </w:pPr>
      <w:rPr>
        <w:rFonts w:hint="default"/>
      </w:rPr>
    </w:lvl>
    <w:lvl w:ilvl="7" w:tplc="09404F92">
      <w:numFmt w:val="bullet"/>
      <w:lvlText w:val="•"/>
      <w:lvlJc w:val="left"/>
      <w:pPr>
        <w:ind w:left="7846" w:hanging="317"/>
      </w:pPr>
      <w:rPr>
        <w:rFonts w:hint="default"/>
      </w:rPr>
    </w:lvl>
    <w:lvl w:ilvl="8" w:tplc="F90623B8">
      <w:numFmt w:val="bullet"/>
      <w:lvlText w:val="•"/>
      <w:lvlJc w:val="left"/>
      <w:pPr>
        <w:ind w:left="8904" w:hanging="317"/>
      </w:pPr>
      <w:rPr>
        <w:rFonts w:hint="default"/>
      </w:rPr>
    </w:lvl>
  </w:abstractNum>
  <w:abstractNum w:abstractNumId="24" w15:restartNumberingAfterBreak="0">
    <w:nsid w:val="52FD69DC"/>
    <w:multiLevelType w:val="hybridMultilevel"/>
    <w:tmpl w:val="71148890"/>
    <w:lvl w:ilvl="0" w:tplc="8D5EE50C">
      <w:start w:val="5"/>
      <w:numFmt w:val="upperLetter"/>
      <w:lvlText w:val="%1."/>
      <w:lvlJc w:val="left"/>
      <w:pPr>
        <w:ind w:left="666" w:hanging="216"/>
      </w:pPr>
      <w:rPr>
        <w:rFonts w:ascii="Arial" w:eastAsia="Calibri" w:hAnsi="Arial" w:cs="Arial" w:hint="default"/>
        <w:b w:val="0"/>
        <w:bCs/>
        <w:spacing w:val="-1"/>
        <w:w w:val="99"/>
        <w:sz w:val="26"/>
        <w:szCs w:val="26"/>
      </w:rPr>
    </w:lvl>
    <w:lvl w:ilvl="1" w:tplc="03E25C0C">
      <w:numFmt w:val="bullet"/>
      <w:lvlText w:val="•"/>
      <w:lvlJc w:val="left"/>
      <w:pPr>
        <w:ind w:left="1595" w:hanging="216"/>
      </w:pPr>
      <w:rPr>
        <w:rFonts w:hint="default"/>
      </w:rPr>
    </w:lvl>
    <w:lvl w:ilvl="2" w:tplc="B8A2B680">
      <w:numFmt w:val="bullet"/>
      <w:lvlText w:val="•"/>
      <w:lvlJc w:val="left"/>
      <w:pPr>
        <w:ind w:left="2519" w:hanging="216"/>
      </w:pPr>
      <w:rPr>
        <w:rFonts w:hint="default"/>
      </w:rPr>
    </w:lvl>
    <w:lvl w:ilvl="3" w:tplc="BEBA70A6">
      <w:numFmt w:val="bullet"/>
      <w:lvlText w:val="•"/>
      <w:lvlJc w:val="left"/>
      <w:pPr>
        <w:ind w:left="3443" w:hanging="216"/>
      </w:pPr>
      <w:rPr>
        <w:rFonts w:hint="default"/>
      </w:rPr>
    </w:lvl>
    <w:lvl w:ilvl="4" w:tplc="21CCDAC2">
      <w:numFmt w:val="bullet"/>
      <w:lvlText w:val="•"/>
      <w:lvlJc w:val="left"/>
      <w:pPr>
        <w:ind w:left="4367" w:hanging="216"/>
      </w:pPr>
      <w:rPr>
        <w:rFonts w:hint="default"/>
      </w:rPr>
    </w:lvl>
    <w:lvl w:ilvl="5" w:tplc="C24C5356">
      <w:numFmt w:val="bullet"/>
      <w:lvlText w:val="•"/>
      <w:lvlJc w:val="left"/>
      <w:pPr>
        <w:ind w:left="5291" w:hanging="216"/>
      </w:pPr>
      <w:rPr>
        <w:rFonts w:hint="default"/>
      </w:rPr>
    </w:lvl>
    <w:lvl w:ilvl="6" w:tplc="7D500E1E">
      <w:numFmt w:val="bullet"/>
      <w:lvlText w:val="•"/>
      <w:lvlJc w:val="left"/>
      <w:pPr>
        <w:ind w:left="6215" w:hanging="216"/>
      </w:pPr>
      <w:rPr>
        <w:rFonts w:hint="default"/>
      </w:rPr>
    </w:lvl>
    <w:lvl w:ilvl="7" w:tplc="0512DB4C">
      <w:numFmt w:val="bullet"/>
      <w:lvlText w:val="•"/>
      <w:lvlJc w:val="left"/>
      <w:pPr>
        <w:ind w:left="7139" w:hanging="216"/>
      </w:pPr>
      <w:rPr>
        <w:rFonts w:hint="default"/>
      </w:rPr>
    </w:lvl>
    <w:lvl w:ilvl="8" w:tplc="A7DC458E">
      <w:numFmt w:val="bullet"/>
      <w:lvlText w:val="•"/>
      <w:lvlJc w:val="left"/>
      <w:pPr>
        <w:ind w:left="8063" w:hanging="216"/>
      </w:pPr>
      <w:rPr>
        <w:rFonts w:hint="default"/>
      </w:rPr>
    </w:lvl>
  </w:abstractNum>
  <w:abstractNum w:abstractNumId="25" w15:restartNumberingAfterBreak="0">
    <w:nsid w:val="5AD608FD"/>
    <w:multiLevelType w:val="hybridMultilevel"/>
    <w:tmpl w:val="28EE8F40"/>
    <w:lvl w:ilvl="0" w:tplc="8834ADB2">
      <w:start w:val="1"/>
      <w:numFmt w:val="upperLetter"/>
      <w:pStyle w:val="ListParagraph"/>
      <w:lvlText w:val="%1."/>
      <w:lvlJc w:val="left"/>
      <w:pPr>
        <w:ind w:left="36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6" w15:restartNumberingAfterBreak="0">
    <w:nsid w:val="5CED4917"/>
    <w:multiLevelType w:val="hybridMultilevel"/>
    <w:tmpl w:val="643E3A84"/>
    <w:lvl w:ilvl="0" w:tplc="507AC6A0">
      <w:start w:val="1"/>
      <w:numFmt w:val="upperLetter"/>
      <w:lvlText w:val="%1."/>
      <w:lvlJc w:val="left"/>
      <w:pPr>
        <w:ind w:left="401" w:hanging="242"/>
      </w:pPr>
      <w:rPr>
        <w:rFonts w:ascii="Calibri" w:eastAsia="Calibri" w:hAnsi="Calibri" w:cs="Calibri" w:hint="default"/>
        <w:b/>
        <w:bCs/>
        <w:w w:val="99"/>
        <w:sz w:val="22"/>
        <w:szCs w:val="22"/>
      </w:rPr>
    </w:lvl>
    <w:lvl w:ilvl="1" w:tplc="8ADCA514">
      <w:numFmt w:val="bullet"/>
      <w:lvlText w:val="•"/>
      <w:lvlJc w:val="left"/>
      <w:pPr>
        <w:ind w:left="1322" w:hanging="242"/>
      </w:pPr>
      <w:rPr>
        <w:rFonts w:hint="default"/>
      </w:rPr>
    </w:lvl>
    <w:lvl w:ilvl="2" w:tplc="7B7CDCE0">
      <w:numFmt w:val="bullet"/>
      <w:lvlText w:val="•"/>
      <w:lvlJc w:val="left"/>
      <w:pPr>
        <w:ind w:left="2244" w:hanging="242"/>
      </w:pPr>
      <w:rPr>
        <w:rFonts w:hint="default"/>
      </w:rPr>
    </w:lvl>
    <w:lvl w:ilvl="3" w:tplc="3D68104A">
      <w:numFmt w:val="bullet"/>
      <w:lvlText w:val="•"/>
      <w:lvlJc w:val="left"/>
      <w:pPr>
        <w:ind w:left="3166" w:hanging="242"/>
      </w:pPr>
      <w:rPr>
        <w:rFonts w:hint="default"/>
      </w:rPr>
    </w:lvl>
    <w:lvl w:ilvl="4" w:tplc="3D822DEA">
      <w:numFmt w:val="bullet"/>
      <w:lvlText w:val="•"/>
      <w:lvlJc w:val="left"/>
      <w:pPr>
        <w:ind w:left="4088" w:hanging="242"/>
      </w:pPr>
      <w:rPr>
        <w:rFonts w:hint="default"/>
      </w:rPr>
    </w:lvl>
    <w:lvl w:ilvl="5" w:tplc="EFD08C92">
      <w:numFmt w:val="bullet"/>
      <w:lvlText w:val="•"/>
      <w:lvlJc w:val="left"/>
      <w:pPr>
        <w:ind w:left="5010" w:hanging="242"/>
      </w:pPr>
      <w:rPr>
        <w:rFonts w:hint="default"/>
      </w:rPr>
    </w:lvl>
    <w:lvl w:ilvl="6" w:tplc="5F02423A">
      <w:numFmt w:val="bullet"/>
      <w:lvlText w:val="•"/>
      <w:lvlJc w:val="left"/>
      <w:pPr>
        <w:ind w:left="5932" w:hanging="242"/>
      </w:pPr>
      <w:rPr>
        <w:rFonts w:hint="default"/>
      </w:rPr>
    </w:lvl>
    <w:lvl w:ilvl="7" w:tplc="02AE41C6">
      <w:numFmt w:val="bullet"/>
      <w:lvlText w:val="•"/>
      <w:lvlJc w:val="left"/>
      <w:pPr>
        <w:ind w:left="6854" w:hanging="242"/>
      </w:pPr>
      <w:rPr>
        <w:rFonts w:hint="default"/>
      </w:rPr>
    </w:lvl>
    <w:lvl w:ilvl="8" w:tplc="D84EDCC8">
      <w:numFmt w:val="bullet"/>
      <w:lvlText w:val="•"/>
      <w:lvlJc w:val="left"/>
      <w:pPr>
        <w:ind w:left="7776" w:hanging="242"/>
      </w:pPr>
      <w:rPr>
        <w:rFonts w:hint="default"/>
      </w:rPr>
    </w:lvl>
  </w:abstractNum>
  <w:abstractNum w:abstractNumId="27" w15:restartNumberingAfterBreak="0">
    <w:nsid w:val="5FEF0D74"/>
    <w:multiLevelType w:val="multilevel"/>
    <w:tmpl w:val="F25C5B92"/>
    <w:lvl w:ilvl="0">
      <w:start w:val="1"/>
      <w:numFmt w:val="upperLetter"/>
      <w:lvlText w:val="%1."/>
      <w:lvlJc w:val="left"/>
      <w:pPr>
        <w:ind w:left="1180" w:hanging="360"/>
      </w:p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8" w15:restartNumberingAfterBreak="0">
    <w:nsid w:val="6988EA53"/>
    <w:multiLevelType w:val="hybridMultilevel"/>
    <w:tmpl w:val="BC84B70E"/>
    <w:lvl w:ilvl="0" w:tplc="074E86A2">
      <w:start w:val="9"/>
      <w:numFmt w:val="upperLetter"/>
      <w:lvlText w:val="%1."/>
      <w:lvlJc w:val="left"/>
      <w:pPr>
        <w:ind w:left="360" w:hanging="360"/>
      </w:pPr>
    </w:lvl>
    <w:lvl w:ilvl="1" w:tplc="71E28264">
      <w:start w:val="1"/>
      <w:numFmt w:val="lowerLetter"/>
      <w:lvlText w:val="%2."/>
      <w:lvlJc w:val="left"/>
      <w:pPr>
        <w:ind w:left="1440" w:hanging="360"/>
      </w:pPr>
    </w:lvl>
    <w:lvl w:ilvl="2" w:tplc="C1F8C4AE">
      <w:start w:val="1"/>
      <w:numFmt w:val="lowerRoman"/>
      <w:lvlText w:val="%3."/>
      <w:lvlJc w:val="right"/>
      <w:pPr>
        <w:ind w:left="2160" w:hanging="180"/>
      </w:pPr>
    </w:lvl>
    <w:lvl w:ilvl="3" w:tplc="BD22797C">
      <w:start w:val="1"/>
      <w:numFmt w:val="decimal"/>
      <w:lvlText w:val="%4."/>
      <w:lvlJc w:val="left"/>
      <w:pPr>
        <w:ind w:left="2880" w:hanging="360"/>
      </w:pPr>
    </w:lvl>
    <w:lvl w:ilvl="4" w:tplc="E8F4769A">
      <w:start w:val="1"/>
      <w:numFmt w:val="lowerLetter"/>
      <w:lvlText w:val="%5."/>
      <w:lvlJc w:val="left"/>
      <w:pPr>
        <w:ind w:left="3600" w:hanging="360"/>
      </w:pPr>
    </w:lvl>
    <w:lvl w:ilvl="5" w:tplc="5A224B96">
      <w:start w:val="1"/>
      <w:numFmt w:val="lowerRoman"/>
      <w:lvlText w:val="%6."/>
      <w:lvlJc w:val="right"/>
      <w:pPr>
        <w:ind w:left="4320" w:hanging="180"/>
      </w:pPr>
    </w:lvl>
    <w:lvl w:ilvl="6" w:tplc="1B12D378">
      <w:start w:val="1"/>
      <w:numFmt w:val="decimal"/>
      <w:lvlText w:val="%7."/>
      <w:lvlJc w:val="left"/>
      <w:pPr>
        <w:ind w:left="5040" w:hanging="360"/>
      </w:pPr>
    </w:lvl>
    <w:lvl w:ilvl="7" w:tplc="515A81DC">
      <w:start w:val="1"/>
      <w:numFmt w:val="lowerLetter"/>
      <w:lvlText w:val="%8."/>
      <w:lvlJc w:val="left"/>
      <w:pPr>
        <w:ind w:left="5760" w:hanging="360"/>
      </w:pPr>
    </w:lvl>
    <w:lvl w:ilvl="8" w:tplc="3BC0B39C">
      <w:start w:val="1"/>
      <w:numFmt w:val="lowerRoman"/>
      <w:lvlText w:val="%9."/>
      <w:lvlJc w:val="right"/>
      <w:pPr>
        <w:ind w:left="6480" w:hanging="180"/>
      </w:pPr>
    </w:lvl>
  </w:abstractNum>
  <w:abstractNum w:abstractNumId="29" w15:restartNumberingAfterBreak="0">
    <w:nsid w:val="6C47209A"/>
    <w:multiLevelType w:val="hybridMultilevel"/>
    <w:tmpl w:val="CF84931E"/>
    <w:lvl w:ilvl="0" w:tplc="6E48184C">
      <w:start w:val="1"/>
      <w:numFmt w:val="upperLetter"/>
      <w:lvlText w:val="%1."/>
      <w:lvlJc w:val="left"/>
      <w:pPr>
        <w:ind w:left="437" w:hanging="317"/>
        <w:jc w:val="right"/>
      </w:pPr>
      <w:rPr>
        <w:rFonts w:ascii="Arial" w:eastAsia="Arial" w:hAnsi="Arial" w:cs="Arial" w:hint="default"/>
        <w:color w:val="4F81BD"/>
        <w:w w:val="99"/>
        <w:sz w:val="26"/>
        <w:szCs w:val="26"/>
      </w:rPr>
    </w:lvl>
    <w:lvl w:ilvl="1" w:tplc="5E52090C">
      <w:numFmt w:val="bullet"/>
      <w:lvlText w:val="•"/>
      <w:lvlJc w:val="left"/>
      <w:pPr>
        <w:ind w:left="1498" w:hanging="317"/>
      </w:pPr>
      <w:rPr>
        <w:rFonts w:hint="default"/>
      </w:rPr>
    </w:lvl>
    <w:lvl w:ilvl="2" w:tplc="8AA669CC">
      <w:numFmt w:val="bullet"/>
      <w:lvlText w:val="•"/>
      <w:lvlJc w:val="left"/>
      <w:pPr>
        <w:ind w:left="2556" w:hanging="317"/>
      </w:pPr>
      <w:rPr>
        <w:rFonts w:hint="default"/>
      </w:rPr>
    </w:lvl>
    <w:lvl w:ilvl="3" w:tplc="357A0226">
      <w:numFmt w:val="bullet"/>
      <w:lvlText w:val="•"/>
      <w:lvlJc w:val="left"/>
      <w:pPr>
        <w:ind w:left="3614" w:hanging="317"/>
      </w:pPr>
      <w:rPr>
        <w:rFonts w:hint="default"/>
      </w:rPr>
    </w:lvl>
    <w:lvl w:ilvl="4" w:tplc="C0FAE4D0">
      <w:numFmt w:val="bullet"/>
      <w:lvlText w:val="•"/>
      <w:lvlJc w:val="left"/>
      <w:pPr>
        <w:ind w:left="4672" w:hanging="317"/>
      </w:pPr>
      <w:rPr>
        <w:rFonts w:hint="default"/>
      </w:rPr>
    </w:lvl>
    <w:lvl w:ilvl="5" w:tplc="8C8AF640">
      <w:numFmt w:val="bullet"/>
      <w:lvlText w:val="•"/>
      <w:lvlJc w:val="left"/>
      <w:pPr>
        <w:ind w:left="5730" w:hanging="317"/>
      </w:pPr>
      <w:rPr>
        <w:rFonts w:hint="default"/>
      </w:rPr>
    </w:lvl>
    <w:lvl w:ilvl="6" w:tplc="9AFEB0CC">
      <w:numFmt w:val="bullet"/>
      <w:lvlText w:val="•"/>
      <w:lvlJc w:val="left"/>
      <w:pPr>
        <w:ind w:left="6788" w:hanging="317"/>
      </w:pPr>
      <w:rPr>
        <w:rFonts w:hint="default"/>
      </w:rPr>
    </w:lvl>
    <w:lvl w:ilvl="7" w:tplc="09404F92">
      <w:numFmt w:val="bullet"/>
      <w:lvlText w:val="•"/>
      <w:lvlJc w:val="left"/>
      <w:pPr>
        <w:ind w:left="7846" w:hanging="317"/>
      </w:pPr>
      <w:rPr>
        <w:rFonts w:hint="default"/>
      </w:rPr>
    </w:lvl>
    <w:lvl w:ilvl="8" w:tplc="F90623B8">
      <w:numFmt w:val="bullet"/>
      <w:lvlText w:val="•"/>
      <w:lvlJc w:val="left"/>
      <w:pPr>
        <w:ind w:left="8904" w:hanging="317"/>
      </w:pPr>
      <w:rPr>
        <w:rFonts w:hint="default"/>
      </w:rPr>
    </w:lvl>
  </w:abstractNum>
  <w:abstractNum w:abstractNumId="30" w15:restartNumberingAfterBreak="0">
    <w:nsid w:val="6D0B1C1B"/>
    <w:multiLevelType w:val="hybridMultilevel"/>
    <w:tmpl w:val="B9C40C4E"/>
    <w:lvl w:ilvl="0" w:tplc="725A65CA">
      <w:start w:val="1"/>
      <w:numFmt w:val="upperLetter"/>
      <w:lvlText w:val="%1."/>
      <w:lvlJc w:val="left"/>
      <w:pPr>
        <w:ind w:left="1620" w:hanging="360"/>
      </w:pPr>
      <w:rPr>
        <w:rFonts w:ascii="Arial" w:hAnsi="Arial" w:cs="Arial" w:hint="default"/>
        <w:b w:val="0"/>
        <w:color w:val="4F81BD" w:themeColor="accent1"/>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 w15:restartNumberingAfterBreak="0">
    <w:nsid w:val="6DC450C5"/>
    <w:multiLevelType w:val="hybridMultilevel"/>
    <w:tmpl w:val="C6A090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945966">
    <w:abstractNumId w:val="28"/>
  </w:num>
  <w:num w:numId="2" w16cid:durableId="313679198">
    <w:abstractNumId w:val="29"/>
  </w:num>
  <w:num w:numId="3" w16cid:durableId="1753118343">
    <w:abstractNumId w:val="24"/>
  </w:num>
  <w:num w:numId="4" w16cid:durableId="1300920044">
    <w:abstractNumId w:val="26"/>
  </w:num>
  <w:num w:numId="5" w16cid:durableId="1179929506">
    <w:abstractNumId w:val="21"/>
  </w:num>
  <w:num w:numId="6" w16cid:durableId="1922565484">
    <w:abstractNumId w:val="3"/>
  </w:num>
  <w:num w:numId="7" w16cid:durableId="2094278291">
    <w:abstractNumId w:val="16"/>
  </w:num>
  <w:num w:numId="8" w16cid:durableId="964845309">
    <w:abstractNumId w:val="14"/>
  </w:num>
  <w:num w:numId="9" w16cid:durableId="1012490100">
    <w:abstractNumId w:val="4"/>
  </w:num>
  <w:num w:numId="10" w16cid:durableId="710306704">
    <w:abstractNumId w:val="17"/>
  </w:num>
  <w:num w:numId="11" w16cid:durableId="460928716">
    <w:abstractNumId w:val="23"/>
  </w:num>
  <w:num w:numId="12" w16cid:durableId="1706640903">
    <w:abstractNumId w:val="7"/>
  </w:num>
  <w:num w:numId="13" w16cid:durableId="1667896317">
    <w:abstractNumId w:val="10"/>
  </w:num>
  <w:num w:numId="14" w16cid:durableId="1524705321">
    <w:abstractNumId w:val="13"/>
  </w:num>
  <w:num w:numId="15" w16cid:durableId="1296368424">
    <w:abstractNumId w:val="31"/>
  </w:num>
  <w:num w:numId="16" w16cid:durableId="347145924">
    <w:abstractNumId w:val="30"/>
  </w:num>
  <w:num w:numId="17" w16cid:durableId="624628020">
    <w:abstractNumId w:val="2"/>
  </w:num>
  <w:num w:numId="18" w16cid:durableId="896356149">
    <w:abstractNumId w:val="20"/>
  </w:num>
  <w:num w:numId="19" w16cid:durableId="1336035524">
    <w:abstractNumId w:val="9"/>
  </w:num>
  <w:num w:numId="20" w16cid:durableId="260531672">
    <w:abstractNumId w:val="6"/>
  </w:num>
  <w:num w:numId="21" w16cid:durableId="513344354">
    <w:abstractNumId w:val="5"/>
  </w:num>
  <w:num w:numId="22" w16cid:durableId="1743676869">
    <w:abstractNumId w:val="15"/>
  </w:num>
  <w:num w:numId="23" w16cid:durableId="410783192">
    <w:abstractNumId w:val="18"/>
  </w:num>
  <w:num w:numId="24" w16cid:durableId="1588028771">
    <w:abstractNumId w:val="8"/>
  </w:num>
  <w:num w:numId="25" w16cid:durableId="362637236">
    <w:abstractNumId w:val="11"/>
  </w:num>
  <w:num w:numId="26" w16cid:durableId="402334252">
    <w:abstractNumId w:val="25"/>
  </w:num>
  <w:num w:numId="27" w16cid:durableId="873078821">
    <w:abstractNumId w:val="27"/>
  </w:num>
  <w:num w:numId="28" w16cid:durableId="803884520">
    <w:abstractNumId w:val="25"/>
    <w:lvlOverride w:ilvl="0">
      <w:startOverride w:val="1"/>
    </w:lvlOverride>
  </w:num>
  <w:num w:numId="29" w16cid:durableId="28461755">
    <w:abstractNumId w:val="25"/>
    <w:lvlOverride w:ilvl="0">
      <w:startOverride w:val="1"/>
    </w:lvlOverride>
  </w:num>
  <w:num w:numId="30" w16cid:durableId="2003241521">
    <w:abstractNumId w:val="25"/>
    <w:lvlOverride w:ilvl="0">
      <w:startOverride w:val="1"/>
    </w:lvlOverride>
  </w:num>
  <w:num w:numId="31" w16cid:durableId="1588726808">
    <w:abstractNumId w:val="19"/>
  </w:num>
  <w:num w:numId="32" w16cid:durableId="1019621296">
    <w:abstractNumId w:val="19"/>
    <w:lvlOverride w:ilvl="0">
      <w:startOverride w:val="1"/>
    </w:lvlOverride>
  </w:num>
  <w:num w:numId="33" w16cid:durableId="1029528625">
    <w:abstractNumId w:val="12"/>
  </w:num>
  <w:num w:numId="34" w16cid:durableId="1800762909">
    <w:abstractNumId w:val="1"/>
  </w:num>
  <w:num w:numId="35" w16cid:durableId="406921944">
    <w:abstractNumId w:val="22"/>
  </w:num>
  <w:num w:numId="36" w16cid:durableId="1429235392">
    <w:abstractNumId w:val="0"/>
  </w:num>
  <w:num w:numId="37" w16cid:durableId="515509655">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A30"/>
    <w:rsid w:val="000737F3"/>
    <w:rsid w:val="000839EA"/>
    <w:rsid w:val="00083F99"/>
    <w:rsid w:val="00087386"/>
    <w:rsid w:val="00090291"/>
    <w:rsid w:val="000C00E1"/>
    <w:rsid w:val="000C52B7"/>
    <w:rsid w:val="000E2715"/>
    <w:rsid w:val="000E4BDA"/>
    <w:rsid w:val="000E702D"/>
    <w:rsid w:val="001021D7"/>
    <w:rsid w:val="001170D9"/>
    <w:rsid w:val="00143A30"/>
    <w:rsid w:val="0015081B"/>
    <w:rsid w:val="00150A6C"/>
    <w:rsid w:val="00151013"/>
    <w:rsid w:val="00155507"/>
    <w:rsid w:val="001555E2"/>
    <w:rsid w:val="001632DC"/>
    <w:rsid w:val="00166547"/>
    <w:rsid w:val="001671EA"/>
    <w:rsid w:val="00184DD4"/>
    <w:rsid w:val="00184E87"/>
    <w:rsid w:val="00185343"/>
    <w:rsid w:val="001870F6"/>
    <w:rsid w:val="0019043D"/>
    <w:rsid w:val="001912C3"/>
    <w:rsid w:val="0019718C"/>
    <w:rsid w:val="001A5DCA"/>
    <w:rsid w:val="001A7A55"/>
    <w:rsid w:val="001B15A3"/>
    <w:rsid w:val="001D0989"/>
    <w:rsid w:val="001D495D"/>
    <w:rsid w:val="001D4AE2"/>
    <w:rsid w:val="001E329C"/>
    <w:rsid w:val="001E6A18"/>
    <w:rsid w:val="001F7DD1"/>
    <w:rsid w:val="002009B0"/>
    <w:rsid w:val="002321FE"/>
    <w:rsid w:val="00232CC9"/>
    <w:rsid w:val="00246591"/>
    <w:rsid w:val="002629BF"/>
    <w:rsid w:val="002706C7"/>
    <w:rsid w:val="00297F97"/>
    <w:rsid w:val="002B6B3B"/>
    <w:rsid w:val="002D49FA"/>
    <w:rsid w:val="002D6ED0"/>
    <w:rsid w:val="002F47BE"/>
    <w:rsid w:val="002F5869"/>
    <w:rsid w:val="00334CB1"/>
    <w:rsid w:val="00340227"/>
    <w:rsid w:val="00353284"/>
    <w:rsid w:val="0037202E"/>
    <w:rsid w:val="00385FEB"/>
    <w:rsid w:val="00396890"/>
    <w:rsid w:val="003A0CC1"/>
    <w:rsid w:val="003C117D"/>
    <w:rsid w:val="003D2975"/>
    <w:rsid w:val="003E124B"/>
    <w:rsid w:val="003E2CBC"/>
    <w:rsid w:val="003E7CDB"/>
    <w:rsid w:val="003F6D79"/>
    <w:rsid w:val="0040645D"/>
    <w:rsid w:val="00410E79"/>
    <w:rsid w:val="004364B4"/>
    <w:rsid w:val="00447277"/>
    <w:rsid w:val="004564DA"/>
    <w:rsid w:val="00467D7E"/>
    <w:rsid w:val="0048180B"/>
    <w:rsid w:val="004A5776"/>
    <w:rsid w:val="004B2F5F"/>
    <w:rsid w:val="004B41C0"/>
    <w:rsid w:val="004E2AFF"/>
    <w:rsid w:val="004E45DB"/>
    <w:rsid w:val="004F40D0"/>
    <w:rsid w:val="00513DAC"/>
    <w:rsid w:val="00541802"/>
    <w:rsid w:val="0055650E"/>
    <w:rsid w:val="005A7581"/>
    <w:rsid w:val="005B2856"/>
    <w:rsid w:val="005B6D65"/>
    <w:rsid w:val="005B76B8"/>
    <w:rsid w:val="00611852"/>
    <w:rsid w:val="006240D4"/>
    <w:rsid w:val="006336F3"/>
    <w:rsid w:val="00667FB5"/>
    <w:rsid w:val="00692D9B"/>
    <w:rsid w:val="006A522E"/>
    <w:rsid w:val="006B0CA0"/>
    <w:rsid w:val="006B4801"/>
    <w:rsid w:val="006C74B7"/>
    <w:rsid w:val="006D1277"/>
    <w:rsid w:val="006D296D"/>
    <w:rsid w:val="0072138A"/>
    <w:rsid w:val="0072662E"/>
    <w:rsid w:val="00732432"/>
    <w:rsid w:val="00753279"/>
    <w:rsid w:val="0075369D"/>
    <w:rsid w:val="007750D5"/>
    <w:rsid w:val="007A2271"/>
    <w:rsid w:val="007E4C1F"/>
    <w:rsid w:val="007E5FF1"/>
    <w:rsid w:val="00805DD0"/>
    <w:rsid w:val="00823514"/>
    <w:rsid w:val="0083203B"/>
    <w:rsid w:val="00841693"/>
    <w:rsid w:val="00847671"/>
    <w:rsid w:val="008503D5"/>
    <w:rsid w:val="008703D9"/>
    <w:rsid w:val="00875479"/>
    <w:rsid w:val="00877C82"/>
    <w:rsid w:val="008837EA"/>
    <w:rsid w:val="00883862"/>
    <w:rsid w:val="00884DFE"/>
    <w:rsid w:val="00895373"/>
    <w:rsid w:val="008F3373"/>
    <w:rsid w:val="00906F1E"/>
    <w:rsid w:val="00925F8D"/>
    <w:rsid w:val="0094020E"/>
    <w:rsid w:val="00945AA2"/>
    <w:rsid w:val="00950F35"/>
    <w:rsid w:val="009740AE"/>
    <w:rsid w:val="00974470"/>
    <w:rsid w:val="00990B50"/>
    <w:rsid w:val="00995686"/>
    <w:rsid w:val="009A0588"/>
    <w:rsid w:val="009C4A59"/>
    <w:rsid w:val="009C75AC"/>
    <w:rsid w:val="009E4211"/>
    <w:rsid w:val="00A12FBA"/>
    <w:rsid w:val="00A1375B"/>
    <w:rsid w:val="00A33534"/>
    <w:rsid w:val="00A357AF"/>
    <w:rsid w:val="00A42B6B"/>
    <w:rsid w:val="00A447C6"/>
    <w:rsid w:val="00A51308"/>
    <w:rsid w:val="00A51CEA"/>
    <w:rsid w:val="00A609D7"/>
    <w:rsid w:val="00A817ED"/>
    <w:rsid w:val="00A9335C"/>
    <w:rsid w:val="00AA3D27"/>
    <w:rsid w:val="00AC394D"/>
    <w:rsid w:val="00AC49FF"/>
    <w:rsid w:val="00AE3217"/>
    <w:rsid w:val="00AF752E"/>
    <w:rsid w:val="00B01057"/>
    <w:rsid w:val="00B2169B"/>
    <w:rsid w:val="00B33884"/>
    <w:rsid w:val="00B55C4A"/>
    <w:rsid w:val="00B5793C"/>
    <w:rsid w:val="00B7414F"/>
    <w:rsid w:val="00B74918"/>
    <w:rsid w:val="00B82953"/>
    <w:rsid w:val="00B96F73"/>
    <w:rsid w:val="00B97C1E"/>
    <w:rsid w:val="00BB51F7"/>
    <w:rsid w:val="00BD245F"/>
    <w:rsid w:val="00BD5D1D"/>
    <w:rsid w:val="00BF4387"/>
    <w:rsid w:val="00C002F0"/>
    <w:rsid w:val="00C12134"/>
    <w:rsid w:val="00C25D75"/>
    <w:rsid w:val="00C30322"/>
    <w:rsid w:val="00C738DD"/>
    <w:rsid w:val="00C94524"/>
    <w:rsid w:val="00CA164A"/>
    <w:rsid w:val="00CA3C04"/>
    <w:rsid w:val="00CD3E4B"/>
    <w:rsid w:val="00CD530C"/>
    <w:rsid w:val="00D0299E"/>
    <w:rsid w:val="00D02CAD"/>
    <w:rsid w:val="00D150D0"/>
    <w:rsid w:val="00D27D35"/>
    <w:rsid w:val="00D409C3"/>
    <w:rsid w:val="00D42A97"/>
    <w:rsid w:val="00D4430F"/>
    <w:rsid w:val="00D64B23"/>
    <w:rsid w:val="00D85D70"/>
    <w:rsid w:val="00D85E1F"/>
    <w:rsid w:val="00D872DF"/>
    <w:rsid w:val="00D916BF"/>
    <w:rsid w:val="00D971E8"/>
    <w:rsid w:val="00DC0C90"/>
    <w:rsid w:val="00DE3D64"/>
    <w:rsid w:val="00DE4410"/>
    <w:rsid w:val="00E13C0E"/>
    <w:rsid w:val="00E17EFE"/>
    <w:rsid w:val="00E202D6"/>
    <w:rsid w:val="00E20624"/>
    <w:rsid w:val="00E2661B"/>
    <w:rsid w:val="00E35AFE"/>
    <w:rsid w:val="00E662D4"/>
    <w:rsid w:val="00E934AA"/>
    <w:rsid w:val="00E961CD"/>
    <w:rsid w:val="00ED5C59"/>
    <w:rsid w:val="00EE3775"/>
    <w:rsid w:val="00F056EB"/>
    <w:rsid w:val="00F1260E"/>
    <w:rsid w:val="00F2086A"/>
    <w:rsid w:val="00F432EC"/>
    <w:rsid w:val="00F47724"/>
    <w:rsid w:val="00F54592"/>
    <w:rsid w:val="00F70B73"/>
    <w:rsid w:val="00FB21A2"/>
    <w:rsid w:val="00FC3EE7"/>
    <w:rsid w:val="00FD4FC8"/>
    <w:rsid w:val="00FE039E"/>
    <w:rsid w:val="00FE2C4B"/>
    <w:rsid w:val="00FF7342"/>
    <w:rsid w:val="076F578C"/>
    <w:rsid w:val="077173AE"/>
    <w:rsid w:val="24F1A720"/>
    <w:rsid w:val="269F0BBB"/>
    <w:rsid w:val="2910AC2B"/>
    <w:rsid w:val="2FFA3CE0"/>
    <w:rsid w:val="3BEC6717"/>
    <w:rsid w:val="41E1AD0F"/>
    <w:rsid w:val="45CF2774"/>
    <w:rsid w:val="5A2B7006"/>
    <w:rsid w:val="5CBD1B33"/>
    <w:rsid w:val="60BF328C"/>
    <w:rsid w:val="7A4E96EF"/>
    <w:rsid w:val="7C93C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EFFD3"/>
  <w15:docId w15:val="{6FA8DD5C-448D-43B1-AEF8-7FFA9F55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E4B"/>
    <w:rPr>
      <w:rFonts w:ascii="Arial Narrow" w:eastAsia="Cambria" w:hAnsi="Arial Narrow" w:cs="Cambria"/>
      <w:sz w:val="26"/>
    </w:rPr>
  </w:style>
  <w:style w:type="paragraph" w:styleId="Heading1">
    <w:name w:val="heading 1"/>
    <w:basedOn w:val="Normal"/>
    <w:uiPriority w:val="9"/>
    <w:qFormat/>
    <w:pPr>
      <w:ind w:left="120"/>
      <w:outlineLvl w:val="0"/>
    </w:pPr>
    <w:rPr>
      <w:b/>
      <w:bCs/>
      <w:sz w:val="32"/>
      <w:szCs w:val="32"/>
      <w:u w:val="single" w:color="000000"/>
    </w:rPr>
  </w:style>
  <w:style w:type="paragraph" w:styleId="Heading2">
    <w:name w:val="heading 2"/>
    <w:basedOn w:val="Normal"/>
    <w:uiPriority w:val="9"/>
    <w:unhideWhenUsed/>
    <w:qFormat/>
    <w:rsid w:val="00CD3E4B"/>
    <w:pPr>
      <w:spacing w:before="65"/>
      <w:ind w:left="3134"/>
      <w:jc w:val="center"/>
      <w:outlineLvl w:val="1"/>
    </w:pPr>
    <w:rPr>
      <w:rFonts w:eastAsia="Arial" w:cs="Arial"/>
      <w:b/>
      <w:smallCaps/>
      <w:color w:val="44546A"/>
      <w:sz w:val="36"/>
      <w:szCs w:val="28"/>
    </w:rPr>
  </w:style>
  <w:style w:type="paragraph" w:styleId="Heading3">
    <w:name w:val="heading 3"/>
    <w:basedOn w:val="Normal"/>
    <w:next w:val="Normal"/>
    <w:link w:val="Heading3Char"/>
    <w:uiPriority w:val="9"/>
    <w:unhideWhenUsed/>
    <w:qFormat/>
    <w:rsid w:val="00166547"/>
    <w:pPr>
      <w:keepNext/>
      <w:keepLines/>
      <w:spacing w:before="40"/>
      <w:outlineLvl w:val="2"/>
    </w:pPr>
    <w:rPr>
      <w:rFonts w:eastAsiaTheme="majorEastAsia" w:cs="Times New Roman (Headings CS)"/>
      <w:b/>
      <w:smallCaps/>
      <w:color w:val="A1662C"/>
      <w:sz w:val="36"/>
      <w:szCs w:val="24"/>
    </w:rPr>
  </w:style>
  <w:style w:type="paragraph" w:styleId="Heading4">
    <w:name w:val="heading 4"/>
    <w:basedOn w:val="Normal"/>
    <w:next w:val="Normal"/>
    <w:link w:val="Heading4Char"/>
    <w:uiPriority w:val="9"/>
    <w:unhideWhenUsed/>
    <w:qFormat/>
    <w:rsid w:val="00CD3E4B"/>
    <w:pPr>
      <w:keepNext/>
      <w:keepLines/>
      <w:spacing w:before="40"/>
      <w:outlineLvl w:val="3"/>
    </w:pPr>
    <w:rPr>
      <w:rFonts w:eastAsiaTheme="majorEastAsia" w:cstheme="majorBidi"/>
      <w:b/>
      <w:i/>
      <w:iCs/>
      <w:color w:val="A1662C"/>
    </w:rPr>
  </w:style>
  <w:style w:type="paragraph" w:styleId="Heading5">
    <w:name w:val="heading 5"/>
    <w:basedOn w:val="Normal"/>
    <w:next w:val="Normal"/>
    <w:link w:val="Heading5Char"/>
    <w:uiPriority w:val="9"/>
    <w:unhideWhenUsed/>
    <w:qFormat/>
    <w:rsid w:val="00CD3E4B"/>
    <w:pPr>
      <w:keepNext/>
      <w:keepLines/>
      <w:spacing w:before="40"/>
      <w:ind w:left="720"/>
      <w:outlineLvl w:val="4"/>
    </w:pPr>
    <w:rPr>
      <w:rFonts w:asciiTheme="majorHAnsi" w:eastAsiaTheme="majorEastAsia" w:hAnsiTheme="majorHAnsi" w:cstheme="majorBidi"/>
      <w:b/>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rsid w:val="00166547"/>
    <w:pPr>
      <w:numPr>
        <w:numId w:val="26"/>
      </w:numPr>
      <w:spacing w:before="180" w:after="40"/>
    </w:pPr>
    <w:rPr>
      <w:b/>
      <w:smallCaps/>
      <w:color w:val="44546A"/>
      <w:sz w:val="36"/>
    </w:rPr>
  </w:style>
  <w:style w:type="paragraph" w:customStyle="1" w:styleId="TableParagraph">
    <w:name w:val="Table Paragraph"/>
    <w:basedOn w:val="Normal"/>
    <w:uiPriority w:val="1"/>
    <w:qFormat/>
    <w:pPr>
      <w:ind w:left="91"/>
    </w:pPr>
    <w:rPr>
      <w:rFonts w:eastAsia="Arial Narrow" w:cs="Arial Narrow"/>
    </w:rPr>
  </w:style>
  <w:style w:type="paragraph" w:styleId="BalloonText">
    <w:name w:val="Balloon Text"/>
    <w:basedOn w:val="Normal"/>
    <w:link w:val="BalloonTextChar"/>
    <w:uiPriority w:val="99"/>
    <w:semiHidden/>
    <w:unhideWhenUsed/>
    <w:rsid w:val="001D49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495D"/>
    <w:rPr>
      <w:rFonts w:ascii="Segoe UI" w:eastAsia="Cambria" w:hAnsi="Segoe UI" w:cs="Segoe UI"/>
      <w:sz w:val="18"/>
      <w:szCs w:val="18"/>
    </w:rPr>
  </w:style>
  <w:style w:type="character" w:styleId="CommentReference">
    <w:name w:val="annotation reference"/>
    <w:basedOn w:val="DefaultParagraphFont"/>
    <w:unhideWhenUsed/>
    <w:rsid w:val="006C74B7"/>
    <w:rPr>
      <w:sz w:val="16"/>
      <w:szCs w:val="16"/>
    </w:rPr>
  </w:style>
  <w:style w:type="paragraph" w:styleId="CommentText">
    <w:name w:val="annotation text"/>
    <w:basedOn w:val="Normal"/>
    <w:link w:val="CommentTextChar"/>
    <w:uiPriority w:val="99"/>
    <w:unhideWhenUsed/>
    <w:rsid w:val="006C74B7"/>
    <w:rPr>
      <w:sz w:val="20"/>
      <w:szCs w:val="20"/>
    </w:rPr>
  </w:style>
  <w:style w:type="character" w:customStyle="1" w:styleId="CommentTextChar">
    <w:name w:val="Comment Text Char"/>
    <w:basedOn w:val="DefaultParagraphFont"/>
    <w:link w:val="CommentText"/>
    <w:uiPriority w:val="99"/>
    <w:rsid w:val="006C74B7"/>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6C74B7"/>
    <w:rPr>
      <w:b/>
      <w:bCs/>
    </w:rPr>
  </w:style>
  <w:style w:type="character" w:customStyle="1" w:styleId="CommentSubjectChar">
    <w:name w:val="Comment Subject Char"/>
    <w:basedOn w:val="CommentTextChar"/>
    <w:link w:val="CommentSubject"/>
    <w:uiPriority w:val="99"/>
    <w:semiHidden/>
    <w:rsid w:val="006C74B7"/>
    <w:rPr>
      <w:rFonts w:ascii="Cambria" w:eastAsia="Cambria" w:hAnsi="Cambria" w:cs="Cambria"/>
      <w:b/>
      <w:bCs/>
      <w:sz w:val="20"/>
      <w:szCs w:val="20"/>
    </w:rPr>
  </w:style>
  <w:style w:type="paragraph" w:styleId="Header">
    <w:name w:val="header"/>
    <w:basedOn w:val="Normal"/>
    <w:link w:val="HeaderChar"/>
    <w:uiPriority w:val="99"/>
    <w:unhideWhenUsed/>
    <w:rsid w:val="00E934AA"/>
    <w:pPr>
      <w:tabs>
        <w:tab w:val="center" w:pos="4680"/>
        <w:tab w:val="right" w:pos="9360"/>
      </w:tabs>
    </w:pPr>
  </w:style>
  <w:style w:type="character" w:customStyle="1" w:styleId="HeaderChar">
    <w:name w:val="Header Char"/>
    <w:basedOn w:val="DefaultParagraphFont"/>
    <w:link w:val="Header"/>
    <w:uiPriority w:val="99"/>
    <w:rsid w:val="00E934AA"/>
    <w:rPr>
      <w:rFonts w:ascii="Cambria" w:eastAsia="Cambria" w:hAnsi="Cambria" w:cs="Cambria"/>
    </w:rPr>
  </w:style>
  <w:style w:type="paragraph" w:styleId="Footer">
    <w:name w:val="footer"/>
    <w:basedOn w:val="Normal"/>
    <w:link w:val="FooterChar"/>
    <w:uiPriority w:val="99"/>
    <w:unhideWhenUsed/>
    <w:rsid w:val="00E934AA"/>
    <w:pPr>
      <w:tabs>
        <w:tab w:val="center" w:pos="4680"/>
        <w:tab w:val="right" w:pos="9360"/>
      </w:tabs>
    </w:pPr>
  </w:style>
  <w:style w:type="character" w:customStyle="1" w:styleId="FooterChar">
    <w:name w:val="Footer Char"/>
    <w:basedOn w:val="DefaultParagraphFont"/>
    <w:link w:val="Footer"/>
    <w:uiPriority w:val="99"/>
    <w:rsid w:val="00E934AA"/>
    <w:rPr>
      <w:rFonts w:ascii="Cambria" w:eastAsia="Cambria" w:hAnsi="Cambria" w:cs="Cambria"/>
    </w:rPr>
  </w:style>
  <w:style w:type="character" w:customStyle="1" w:styleId="Heading3Char">
    <w:name w:val="Heading 3 Char"/>
    <w:basedOn w:val="DefaultParagraphFont"/>
    <w:link w:val="Heading3"/>
    <w:uiPriority w:val="9"/>
    <w:rsid w:val="00166547"/>
    <w:rPr>
      <w:rFonts w:ascii="Arial Narrow" w:eastAsiaTheme="majorEastAsia" w:hAnsi="Arial Narrow" w:cs="Times New Roman (Headings CS)"/>
      <w:b/>
      <w:smallCaps/>
      <w:color w:val="A1662C"/>
      <w:sz w:val="36"/>
      <w:szCs w:val="24"/>
    </w:rPr>
  </w:style>
  <w:style w:type="character" w:customStyle="1" w:styleId="Heading4Char">
    <w:name w:val="Heading 4 Char"/>
    <w:basedOn w:val="DefaultParagraphFont"/>
    <w:link w:val="Heading4"/>
    <w:uiPriority w:val="9"/>
    <w:rsid w:val="00CD3E4B"/>
    <w:rPr>
      <w:rFonts w:ascii="Arial Narrow" w:eastAsiaTheme="majorEastAsia" w:hAnsi="Arial Narrow" w:cstheme="majorBidi"/>
      <w:b/>
      <w:i/>
      <w:iCs/>
      <w:color w:val="A1662C"/>
      <w:sz w:val="26"/>
    </w:rPr>
  </w:style>
  <w:style w:type="character" w:customStyle="1" w:styleId="Heading5Char">
    <w:name w:val="Heading 5 Char"/>
    <w:basedOn w:val="DefaultParagraphFont"/>
    <w:link w:val="Heading5"/>
    <w:uiPriority w:val="9"/>
    <w:rsid w:val="00CD3E4B"/>
    <w:rPr>
      <w:rFonts w:asciiTheme="majorHAnsi" w:eastAsiaTheme="majorEastAsia" w:hAnsiTheme="majorHAnsi" w:cstheme="majorBidi"/>
      <w:b/>
      <w:color w:val="44546A"/>
      <w:sz w:val="26"/>
    </w:rPr>
  </w:style>
  <w:style w:type="paragraph" w:customStyle="1" w:styleId="Default">
    <w:name w:val="Default"/>
    <w:rsid w:val="00CD3E4B"/>
    <w:pPr>
      <w:widowControl/>
      <w:adjustRightInd w:val="0"/>
    </w:pPr>
    <w:rPr>
      <w:rFonts w:ascii="Times New Roman" w:hAnsi="Times New Roman" w:cs="Times New Roman"/>
      <w:color w:val="000000"/>
      <w:sz w:val="24"/>
      <w:szCs w:val="24"/>
    </w:rPr>
  </w:style>
  <w:style w:type="paragraph" w:styleId="NoSpacing">
    <w:name w:val="No Spacing"/>
    <w:aliases w:val="List Paragraph 2"/>
    <w:basedOn w:val="Normal"/>
    <w:next w:val="ListParagraph"/>
    <w:uiPriority w:val="1"/>
    <w:qFormat/>
    <w:rsid w:val="00CD3E4B"/>
    <w:rPr>
      <w:b/>
      <w:smallCaps/>
      <w:color w:val="44546A"/>
    </w:rPr>
  </w:style>
  <w:style w:type="table" w:customStyle="1" w:styleId="GridTable1Light-Accent11">
    <w:name w:val="Grid Table 1 Light - Accent 11"/>
    <w:basedOn w:val="TableNormal"/>
    <w:next w:val="GridTable1Light-Accent1"/>
    <w:uiPriority w:val="46"/>
    <w:rsid w:val="003A0CC1"/>
    <w:pPr>
      <w:widowControl/>
      <w:autoSpaceDE/>
      <w:autoSpaceDN/>
    </w:pPr>
    <w:rPr>
      <w:rFonts w:eastAsia="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A0CC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1021D7"/>
    <w:pPr>
      <w:widowControl/>
      <w:autoSpaceDE/>
      <w:autoSpaceDN/>
    </w:pPr>
    <w:rPr>
      <w:rFonts w:ascii="Arial Narrow" w:eastAsia="Cambria" w:hAnsi="Arial Narrow" w:cs="Cambria"/>
      <w:sz w:val="26"/>
    </w:rPr>
  </w:style>
  <w:style w:type="character" w:styleId="Hyperlink">
    <w:name w:val="Hyperlink"/>
    <w:basedOn w:val="DefaultParagraphFont"/>
    <w:uiPriority w:val="99"/>
    <w:semiHidden/>
    <w:unhideWhenUsed/>
    <w:rsid w:val="00884DF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167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1054</Words>
  <Characters>6445</Characters>
  <Application>Microsoft Office Word</Application>
  <DocSecurity>0</DocSecurity>
  <Lines>137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Shang</dc:creator>
  <cp:lastModifiedBy>Madrigal, Alex</cp:lastModifiedBy>
  <cp:revision>3</cp:revision>
  <cp:lastPrinted>2019-02-27T18:08:00Z</cp:lastPrinted>
  <dcterms:created xsi:type="dcterms:W3CDTF">2026-04-14T18:26:00Z</dcterms:created>
  <dcterms:modified xsi:type="dcterms:W3CDTF">2026-04-16T21:29:00Z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2019-02-20T00:00:00Z</vt:filetime>
  </property>
  <property fmtid="{D5CDD505-2E9C-101B-9397-08002B2CF9AE}" pid="3" name="Creator">
    <vt:lpwstr>Adobe Acrobat Pro DC 15.6.30475</vt:lpwstr>
  </property>
  <property fmtid="{D5CDD505-2E9C-101B-9397-08002B2CF9AE}" pid="4" name="LastSaved">
    <vt:filetime>2019-02-26T00:00:00Z</vt:filetime>
  </property>
</Properties>
</file>