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76" w:lineRule="auto"/>
        <w:jc w:val="center"/>
      </w:pPr>
      <w:r>
        <w:rPr>
          <w:rFonts w:ascii="Calibri" w:hAnsi="Calibri"/>
          <w:b/>
          <w:i w:val="0"/>
          <w:color w:val="333333"/>
          <w:sz w:val="20"/>
        </w:rPr>
        <w:t>BUILD WITH AI 2026 · SANTA CRUZ · MENCIÓN INDUSTRIA</w:t>
      </w:r>
    </w:p>
    <w:p>
      <w:pPr>
        <w:spacing w:after="240" w:line="276" w:lineRule="auto"/>
        <w:jc w:val="center"/>
      </w:pPr>
      <w:r>
        <w:rPr>
          <w:rFonts w:ascii="Calibri" w:hAnsi="Calibri"/>
          <w:b/>
          <w:i w:val="0"/>
          <w:color w:val="184C78"/>
          <w:sz w:val="64"/>
        </w:rPr>
        <w:t>Mita</w:t>
      </w:r>
    </w:p>
    <w:p>
      <w:pPr>
        <w:spacing w:after="960" w:line="276" w:lineRule="auto"/>
        <w:jc w:val="center"/>
      </w:pPr>
      <w:r>
        <w:rPr>
          <w:rFonts w:ascii="Calibri" w:hAnsi="Calibri"/>
          <w:b/>
          <w:i/>
          <w:color w:val="333333"/>
          <w:sz w:val="28"/>
        </w:rPr>
        <w:t>Agente Inmobiliario con Inteligencia Artificial para Encontrar Espacios Productivos, Comerciales y Logísticos</w:t>
      </w:r>
    </w:p>
    <w:p>
      <w:pPr>
        <w:spacing w:after="120" w:line="276" w:lineRule="auto"/>
        <w:jc w:val="center"/>
      </w:pPr>
      <w:r>
        <w:rPr>
          <w:rFonts w:ascii="Calibri" w:hAnsi="Calibri"/>
          <w:b/>
          <w:i w:val="0"/>
          <w:color w:val="333333"/>
          <w:sz w:val="24"/>
        </w:rPr>
        <w:t>Documento Técnico y Plan de Negocios Final</w:t>
      </w:r>
    </w:p>
    <w:p>
      <w:pPr>
        <w:spacing w:after="960" w:line="276" w:lineRule="auto"/>
        <w:jc w:val="center"/>
      </w:pPr>
      <w:r>
        <w:rPr>
          <w:rFonts w:ascii="Calibri" w:hAnsi="Calibri"/>
          <w:b w:val="0"/>
          <w:i w:val="0"/>
          <w:color w:val="333333"/>
          <w:sz w:val="22"/>
        </w:rPr>
        <w:t>Proyecto Desarrollado para Build With AI 2026 · Google Developer Group (GDG) Santa Cruz</w:t>
      </w:r>
    </w:p>
    <w:p>
      <w:pPr>
        <w:spacing w:after="80" w:line="276" w:lineRule="auto"/>
        <w:jc w:val="center"/>
      </w:pPr>
      <w:r>
        <w:rPr>
          <w:rFonts w:ascii="Calibri" w:hAnsi="Calibri"/>
          <w:b/>
          <w:i w:val="0"/>
          <w:color w:val="333333"/>
          <w:sz w:val="22"/>
        </w:rPr>
        <w:t>Equipo Mita:</w:t>
      </w:r>
    </w:p>
    <w:p>
      <w:pPr>
        <w:spacing w:after="80" w:line="276" w:lineRule="auto"/>
        <w:jc w:val="center"/>
      </w:pPr>
      <w:r>
        <w:rPr>
          <w:rFonts w:ascii="Calibri" w:hAnsi="Calibri"/>
          <w:b w:val="0"/>
          <w:i w:val="0"/>
          <w:color w:val="333333"/>
          <w:sz w:val="22"/>
        </w:rPr>
        <w:t>Daniel Cueto · Ariane Somoza · Denis Lira</w:t>
      </w:r>
    </w:p>
    <w:p>
      <w:pPr>
        <w:spacing w:after="2400" w:line="276" w:lineRule="auto"/>
        <w:jc w:val="center"/>
      </w:pPr>
      <w:r>
        <w:rPr>
          <w:rFonts w:ascii="Calibri" w:hAnsi="Calibri"/>
          <w:b w:val="0"/>
          <w:i/>
          <w:color w:val="333333"/>
          <w:sz w:val="20"/>
        </w:rPr>
        <w:t>Santa Cruz de la Sierra, Bolivia · 31 de mayo de 2026</w:t>
      </w:r>
    </w:p>
    <w:p>
      <w:r>
        <w:br w:type="page"/>
      </w:r>
    </w:p>
    <w:p>
      <w:pPr>
        <w:pStyle w:val="Heading1"/>
        <w:spacing w:before="240" w:after="120"/>
      </w:pPr>
      <w:r>
        <w:rPr>
          <w:rFonts w:ascii="Calibri" w:hAnsi="Calibri"/>
          <w:b/>
          <w:color w:val="184C78"/>
          <w:sz w:val="28"/>
        </w:rPr>
        <w:t>ÍNDICE DE CONTENIDOS</w:t>
      </w:r>
    </w:p>
    <w:p>
      <w:pPr>
        <w:spacing w:after="80" w:line="276" w:lineRule="auto"/>
        <w:jc w:val="left"/>
      </w:pPr>
      <w:r>
        <w:rPr>
          <w:rFonts w:ascii="Calibri" w:hAnsi="Calibri"/>
          <w:b w:val="0"/>
          <w:i w:val="0"/>
          <w:color w:val="333333"/>
          <w:sz w:val="20"/>
        </w:rPr>
        <w:t>1. Resumen ejecutivo ........................................ Pág. 3</w:t>
      </w:r>
    </w:p>
    <w:p>
      <w:pPr>
        <w:spacing w:after="80" w:line="276" w:lineRule="auto"/>
        <w:jc w:val="left"/>
      </w:pPr>
      <w:r>
        <w:rPr>
          <w:rFonts w:ascii="Calibri" w:hAnsi="Calibri"/>
          <w:b w:val="0"/>
          <w:i w:val="0"/>
          <w:color w:val="333333"/>
          <w:sz w:val="20"/>
        </w:rPr>
        <w:t>2. Problema del mercado .................................. Pág. 3</w:t>
      </w:r>
    </w:p>
    <w:p>
      <w:pPr>
        <w:spacing w:after="80" w:line="276" w:lineRule="auto"/>
        <w:jc w:val="left"/>
      </w:pPr>
      <w:r>
        <w:rPr>
          <w:rFonts w:ascii="Calibri" w:hAnsi="Calibri"/>
          <w:b w:val="0"/>
          <w:i w:val="0"/>
          <w:color w:val="333333"/>
          <w:sz w:val="20"/>
        </w:rPr>
        <w:t>3. Evidencia y dimensionamiento de mercado  Pág. 3</w:t>
      </w:r>
    </w:p>
    <w:p>
      <w:pPr>
        <w:spacing w:after="80" w:line="276" w:lineRule="auto"/>
        <w:jc w:val="left"/>
      </w:pPr>
      <w:r>
        <w:rPr>
          <w:rFonts w:ascii="Calibri" w:hAnsi="Calibri"/>
          <w:b w:val="0"/>
          <w:i w:val="0"/>
          <w:color w:val="333333"/>
          <w:sz w:val="20"/>
        </w:rPr>
        <w:t>4. Propuesta de solución y flujos .............. Pág. 4</w:t>
      </w:r>
    </w:p>
    <w:p>
      <w:pPr>
        <w:spacing w:after="80" w:line="276" w:lineRule="auto"/>
        <w:jc w:val="left"/>
      </w:pPr>
      <w:r>
        <w:rPr>
          <w:rFonts w:ascii="Calibri" w:hAnsi="Calibri"/>
          <w:b w:val="0"/>
          <w:i w:val="0"/>
          <w:color w:val="333333"/>
          <w:sz w:val="20"/>
        </w:rPr>
        <w:t>5. Producto MVP y alcance .............................. Pág. 5</w:t>
      </w:r>
    </w:p>
    <w:p>
      <w:pPr>
        <w:spacing w:after="80" w:line="276" w:lineRule="auto"/>
        <w:jc w:val="left"/>
      </w:pPr>
      <w:r>
        <w:rPr>
          <w:rFonts w:ascii="Calibri" w:hAnsi="Calibri"/>
          <w:b w:val="0"/>
          <w:i w:val="0"/>
          <w:color w:val="333333"/>
          <w:sz w:val="20"/>
        </w:rPr>
        <w:t>6. Aplicación técnica de IA, RAG y arquitectura  Pág. 6</w:t>
      </w:r>
    </w:p>
    <w:p>
      <w:pPr>
        <w:spacing w:after="80" w:line="276" w:lineRule="auto"/>
        <w:jc w:val="left"/>
      </w:pPr>
      <w:r>
        <w:rPr>
          <w:rFonts w:ascii="Calibri" w:hAnsi="Calibri"/>
          <w:b w:val="0"/>
          <w:i w:val="0"/>
          <w:color w:val="333333"/>
          <w:sz w:val="20"/>
        </w:rPr>
        <w:t>7. Modelo de negocio y monetización .......... Pág. 7</w:t>
      </w:r>
    </w:p>
    <w:p>
      <w:pPr>
        <w:spacing w:after="80" w:line="276" w:lineRule="auto"/>
        <w:jc w:val="left"/>
      </w:pPr>
      <w:r>
        <w:rPr>
          <w:rFonts w:ascii="Calibri" w:hAnsi="Calibri"/>
          <w:b w:val="0"/>
          <w:i w:val="0"/>
          <w:color w:val="333333"/>
          <w:sz w:val="20"/>
        </w:rPr>
        <w:t>8. Estrategia Go-To-Market ............................ Pág. 8</w:t>
      </w:r>
    </w:p>
    <w:p>
      <w:pPr>
        <w:spacing w:after="80" w:line="276" w:lineRule="auto"/>
        <w:jc w:val="left"/>
      </w:pPr>
      <w:r>
        <w:rPr>
          <w:rFonts w:ascii="Calibri" w:hAnsi="Calibri"/>
          <w:b w:val="0"/>
          <w:i w:val="0"/>
          <w:color w:val="333333"/>
          <w:sz w:val="20"/>
        </w:rPr>
        <w:t>9. Análisis FODA ................................................ Pág. 8</w:t>
      </w:r>
    </w:p>
    <w:p>
      <w:pPr>
        <w:spacing w:after="80" w:line="276" w:lineRule="auto"/>
        <w:jc w:val="left"/>
      </w:pPr>
      <w:r>
        <w:rPr>
          <w:rFonts w:ascii="Calibri" w:hAnsi="Calibri"/>
          <w:b w:val="0"/>
          <w:i w:val="0"/>
          <w:color w:val="333333"/>
          <w:sz w:val="20"/>
        </w:rPr>
        <w:t>10. Análisis PESTEL detallado ...................... Pág. 9</w:t>
      </w:r>
    </w:p>
    <w:p>
      <w:pPr>
        <w:spacing w:after="80" w:line="276" w:lineRule="auto"/>
        <w:jc w:val="left"/>
      </w:pPr>
      <w:r>
        <w:rPr>
          <w:rFonts w:ascii="Calibri" w:hAnsi="Calibri"/>
          <w:b w:val="0"/>
          <w:i w:val="0"/>
          <w:color w:val="333333"/>
          <w:sz w:val="20"/>
        </w:rPr>
        <w:t>11. Lienzo Lean Canvas consolidado ............ Pág. 10</w:t>
      </w:r>
    </w:p>
    <w:p>
      <w:pPr>
        <w:spacing w:after="80" w:line="276" w:lineRule="auto"/>
        <w:jc w:val="left"/>
      </w:pPr>
      <w:r>
        <w:rPr>
          <w:rFonts w:ascii="Calibri" w:hAnsi="Calibri"/>
          <w:b w:val="0"/>
          <w:i w:val="0"/>
          <w:color w:val="333333"/>
          <w:sz w:val="20"/>
        </w:rPr>
        <w:t>12. Análisis financiero y proyecciones a 3 años  Pág. 11</w:t>
      </w:r>
    </w:p>
    <w:p>
      <w:pPr>
        <w:spacing w:after="80" w:line="276" w:lineRule="auto"/>
        <w:jc w:val="left"/>
      </w:pPr>
      <w:r>
        <w:rPr>
          <w:rFonts w:ascii="Calibri" w:hAnsi="Calibri"/>
          <w:b w:val="0"/>
          <w:i w:val="0"/>
          <w:color w:val="333333"/>
          <w:sz w:val="20"/>
        </w:rPr>
        <w:t>13. Impacto esperado y métricas de éxito  Pág. 11</w:t>
      </w:r>
    </w:p>
    <w:p>
      <w:pPr>
        <w:spacing w:after="80" w:line="276" w:lineRule="auto"/>
        <w:jc w:val="left"/>
      </w:pPr>
      <w:r>
        <w:rPr>
          <w:rFonts w:ascii="Calibri" w:hAnsi="Calibri"/>
          <w:b w:val="0"/>
          <w:i w:val="0"/>
          <w:color w:val="333333"/>
          <w:sz w:val="20"/>
        </w:rPr>
        <w:t>14. Riesgos y mitigación ................................ Pág. 12</w:t>
      </w:r>
    </w:p>
    <w:p>
      <w:pPr>
        <w:spacing w:after="80" w:line="276" w:lineRule="auto"/>
        <w:jc w:val="left"/>
      </w:pPr>
      <w:r>
        <w:rPr>
          <w:rFonts w:ascii="Calibri" w:hAnsi="Calibri"/>
          <w:b w:val="0"/>
          <w:i w:val="0"/>
          <w:color w:val="333333"/>
          <w:sz w:val="20"/>
        </w:rPr>
        <w:t>15. Pitch de negocio (30s / 90s) ................ Pág. 13</w:t>
      </w:r>
    </w:p>
    <w:p>
      <w:pPr>
        <w:spacing w:after="80" w:line="276" w:lineRule="auto"/>
        <w:jc w:val="left"/>
      </w:pPr>
      <w:r>
        <w:rPr>
          <w:rFonts w:ascii="Calibri" w:hAnsi="Calibri"/>
          <w:b w:val="0"/>
          <w:i w:val="0"/>
          <w:color w:val="333333"/>
          <w:sz w:val="20"/>
        </w:rPr>
        <w:t>16. Fuentes base y referencias .................... Pág. 13</w:t>
      </w:r>
    </w:p>
    <w:p>
      <w:r>
        <w:br w:type="page"/>
      </w:r>
    </w:p>
    <w:p>
      <w:pPr>
        <w:pStyle w:val="Heading1"/>
        <w:spacing w:before="240" w:after="120"/>
      </w:pPr>
      <w:r>
        <w:rPr>
          <w:rFonts w:ascii="Calibri" w:hAnsi="Calibri"/>
          <w:b/>
          <w:color w:val="184C78"/>
          <w:sz w:val="28"/>
        </w:rPr>
        <w:t>1. Resumen ejecutivo</w:t>
      </w:r>
    </w:p>
    <w:p>
      <w:pPr>
        <w:spacing w:after="120" w:line="276" w:lineRule="auto"/>
        <w:jc w:val="left"/>
      </w:pPr>
      <w:r>
        <w:rPr>
          <w:rFonts w:ascii="Calibri" w:hAnsi="Calibri"/>
          <w:b w:val="0"/>
          <w:i w:val="0"/>
          <w:color w:val="333333"/>
          <w:sz w:val="22"/>
        </w:rPr>
        <w:t>Mita es una plataforma B2B SaaS y un agente inmobiliario impulsado por Inteligencia Artificial diseñado específicamente para la forma real en que las personas y empresas buscan espacios físicos en Santa Cruz de la Sierra. La solución abarca locales comerciales, oficinas, depósitos, galpones, talleres, espacios de uso mixto y vivienda como una extensión natural del mercado.</w:t>
      </w:r>
    </w:p>
    <w:p>
      <w:pPr>
        <w:spacing w:after="120" w:line="276" w:lineRule="auto"/>
        <w:jc w:val="left"/>
      </w:pPr>
      <w:r>
        <w:rPr>
          <w:rFonts w:ascii="Calibri" w:hAnsi="Calibri"/>
          <w:b w:val="0"/>
          <w:i w:val="0"/>
          <w:color w:val="333333"/>
          <w:sz w:val="22"/>
        </w:rPr>
        <w:t>A diferencia de las soluciones tradicionales basadas en listados estáticos y filtros de atributos rígidos, Mita normaliza publicaciones desordenadas y fragmentadas provenientes de redes sociales, extrae criterios semánticos mediante modelos de lenguaje avanzados, y genera recomendaciones personalizadas explicando pros, contras, alertas comerciales y viabilidad de uso. En el marco de Build With AI 2026, el proyecto se alinea bajo la mención Industria, proveyendo un estándar de estructuración de datos para agilizar el Go-To-Market de las pymes locales y reducir drásticamente el costo de intermediación inmobiliaria.</w:t>
      </w:r>
    </w:p>
    <w:p>
      <w:pPr>
        <w:pStyle w:val="Heading1"/>
        <w:spacing w:before="240" w:after="120"/>
      </w:pPr>
      <w:r>
        <w:rPr>
          <w:rFonts w:ascii="Calibri" w:hAnsi="Calibri"/>
          <w:b/>
          <w:color w:val="184C78"/>
          <w:sz w:val="28"/>
        </w:rPr>
        <w:t>2. Problema del mercado</w:t>
      </w:r>
    </w:p>
    <w:p>
      <w:pPr>
        <w:spacing w:after="120" w:line="276" w:lineRule="auto"/>
        <w:jc w:val="left"/>
      </w:pPr>
      <w:r>
        <w:rPr>
          <w:rFonts w:ascii="Calibri" w:hAnsi="Calibri"/>
          <w:b w:val="0"/>
          <w:i w:val="0"/>
          <w:color w:val="333333"/>
          <w:sz w:val="22"/>
        </w:rPr>
        <w:t>En Santa Cruz, las ofertas de alquiler y venta de espacios físicos comerciales se encuentran altamente fragmentadas y desorganizadas, repartidas entre Facebook Marketplace, grupos informales de WhatsApp, portales inmobiliarios tradicionales con datos obsoletos y contactos personales. El inventario físico existe, pero el acceso a información confiable representa una barrera de entrada crítica. Los dolores del mercado se detallan a continuación:</w:t>
      </w:r>
    </w:p>
    <w:p>
      <w:pPr>
        <w:pStyle w:val="ListBullet"/>
        <w:spacing w:after="80" w:line="276" w:lineRule="auto"/>
      </w:pPr>
      <w:r>
        <w:rPr>
          <w:rFonts w:ascii="Calibri" w:hAnsi="Calibri"/>
          <w:color w:val="333333"/>
          <w:sz w:val="22"/>
        </w:rPr>
        <w:t>Información Incompleta y Duplicada: La mayoría de las publicaciones en redes sociales carecen de metros cuadrados, servicios disponibles (electricidad trifásica, agua comercial), condiciones financieras detalladas (garantía, expensas, comisión del agente) o el uso de suelo comercial permitido.</w:t>
      </w:r>
    </w:p>
    <w:p>
      <w:pPr>
        <w:pStyle w:val="ListBullet"/>
        <w:spacing w:after="80" w:line="276" w:lineRule="auto"/>
      </w:pPr>
      <w:r>
        <w:rPr>
          <w:rFonts w:ascii="Calibri" w:hAnsi="Calibri"/>
          <w:color w:val="333333"/>
          <w:sz w:val="22"/>
        </w:rPr>
        <w:t>Zonas y Ubicación Ambiguas: Referencias vagas como 'zona norte', 'cerca del cuarto anillo' o 'cerca de Equipetrol' impiden análisis logísticos y comerciales precisos.</w:t>
      </w:r>
    </w:p>
    <w:p>
      <w:pPr>
        <w:pStyle w:val="ListBullet"/>
        <w:spacing w:after="80" w:line="276" w:lineRule="auto"/>
      </w:pPr>
      <w:r>
        <w:rPr>
          <w:rFonts w:ascii="Calibri" w:hAnsi="Calibri"/>
          <w:color w:val="333333"/>
          <w:sz w:val="22"/>
        </w:rPr>
        <w:t>Fricción Monetaria y Cambiaria: Precios fluctuantes cotizados indistintamente en dólares americanos (USD) y bolivianos (Bs) sin especificar el tipo de cambio de referencia, lo que genera desconfianza y fricción.</w:t>
      </w:r>
    </w:p>
    <w:p>
      <w:pPr>
        <w:pStyle w:val="ListBullet"/>
        <w:spacing w:after="80" w:line="276" w:lineRule="auto"/>
      </w:pPr>
      <w:r>
        <w:rPr>
          <w:rFonts w:ascii="Calibri" w:hAnsi="Calibri"/>
          <w:color w:val="333333"/>
          <w:sz w:val="22"/>
        </w:rPr>
        <w:t>Incompatibilidad Operativa: Las pymes no buscan espacios basándose únicamente en filtros de precio. Sus decisiones dependen de factores operativos y regulatorios (ej. si el local es apto para una cafetería con permisos sanitarios, o si el galpón permite camiones de alto tonelaje).</w:t>
      </w:r>
    </w:p>
    <w:p>
      <w:pPr>
        <w:pStyle w:val="ListBullet"/>
        <w:spacing w:after="80" w:line="276" w:lineRule="auto"/>
      </w:pPr>
      <w:r>
        <w:rPr>
          <w:rFonts w:ascii="Calibri" w:hAnsi="Calibri"/>
          <w:color w:val="333333"/>
          <w:sz w:val="22"/>
        </w:rPr>
        <w:t>Pérdida de Tiempo para Agentes: Los agentes inmobiliarios pierden hasta un 80% de su jornada respondiendo mensajes fríos y no calificados de usuarios que preguntan por información que omitieron en la publicación original.</w:t>
      </w:r>
    </w:p>
    <w:p>
      <w:pPr>
        <w:pStyle w:val="Heading1"/>
        <w:spacing w:before="240" w:after="120"/>
      </w:pPr>
      <w:r>
        <w:rPr>
          <w:rFonts w:ascii="Calibri" w:hAnsi="Calibri"/>
          <w:b/>
          <w:color w:val="184C78"/>
          <w:sz w:val="28"/>
        </w:rPr>
        <w:t>3. Evidencia y dimensionamiento de mercado</w:t>
      </w:r>
    </w:p>
    <w:p>
      <w:pPr>
        <w:spacing w:after="120" w:line="276" w:lineRule="auto"/>
        <w:jc w:val="left"/>
      </w:pPr>
      <w:r>
        <w:rPr>
          <w:rFonts w:ascii="Calibri" w:hAnsi="Calibri"/>
          <w:b w:val="0"/>
          <w:i w:val="0"/>
          <w:color w:val="333333"/>
          <w:sz w:val="22"/>
        </w:rPr>
        <w:t>El tamaño de la economía inmobiliaria de Santa Cruz justifica una solución digital especializada. A continuación se presenta el dimensionamiento e inferencias de mercado construidas por Mita en base a datos del Instituto Nacional de Estadística (INE 2024), SEPREC (2024) y supuestos de monetización B2B:</w:t>
      </w:r>
    </w:p>
    <w:tbl>
      <w:tblPr>
        <w:tblW w:type="auto" w:w="0"/>
        <w:tblLayout w:type="fixed"/>
        <w:tblLook w:firstColumn="1" w:firstRow="1" w:lastColumn="0" w:lastRow="0" w:noHBand="0" w:noVBand="1" w:val="04A0"/>
      </w:tblPr>
      <w:tblGrid>
        <w:gridCol w:w="3120"/>
        <w:gridCol w:w="3120"/>
        <w:gridCol w:w="3120"/>
      </w:tblGrid>
      <w:tr>
        <w:tc>
          <w:tcPr>
            <w:tcW w:type="dxa" w:w="2880"/>
            <w:shd w:fill="184C78"/>
            <w:tcMar>
              <w:top w:w="120" w:type="dxa"/>
              <w:bottom w:w="120" w:type="dxa"/>
              <w:left w:w="150" w:type="dxa"/>
              <w:right w:w="150" w:type="dxa"/>
            </w:tcMar>
          </w:tcPr>
          <w:p>
            <w:pPr>
              <w:spacing w:after="40"/>
              <w:jc w:val="left"/>
            </w:pPr>
            <w:r/>
            <w:r>
              <w:rPr>
                <w:rFonts w:ascii="Calibri" w:hAnsi="Calibri"/>
                <w:b/>
                <w:color w:val="FFFFFF"/>
                <w:sz w:val="21"/>
              </w:rPr>
              <w:t>Indicador</w:t>
            </w:r>
          </w:p>
        </w:tc>
        <w:tc>
          <w:tcPr>
            <w:tcW w:type="dxa" w:w="2880"/>
            <w:shd w:fill="184C78"/>
            <w:tcMar>
              <w:top w:w="120" w:type="dxa"/>
              <w:bottom w:w="120" w:type="dxa"/>
              <w:left w:w="150" w:type="dxa"/>
              <w:right w:w="150" w:type="dxa"/>
            </w:tcMar>
          </w:tcPr>
          <w:p>
            <w:pPr>
              <w:spacing w:after="40"/>
              <w:jc w:val="left"/>
            </w:pPr>
            <w:r/>
            <w:r>
              <w:rPr>
                <w:rFonts w:ascii="Calibri" w:hAnsi="Calibri"/>
                <w:b/>
                <w:color w:val="FFFFFF"/>
                <w:sz w:val="21"/>
              </w:rPr>
              <w:t>Cifra Estimada</w:t>
            </w:r>
          </w:p>
        </w:tc>
        <w:tc>
          <w:tcPr>
            <w:tcW w:type="dxa" w:w="3600"/>
            <w:shd w:fill="184C78"/>
            <w:tcMar>
              <w:top w:w="120" w:type="dxa"/>
              <w:bottom w:w="120" w:type="dxa"/>
              <w:left w:w="150" w:type="dxa"/>
              <w:right w:w="150" w:type="dxa"/>
            </w:tcMar>
          </w:tcPr>
          <w:p>
            <w:pPr>
              <w:spacing w:after="40"/>
              <w:jc w:val="left"/>
            </w:pPr>
            <w:r/>
            <w:r>
              <w:rPr>
                <w:rFonts w:ascii="Calibri" w:hAnsi="Calibri"/>
                <w:b/>
                <w:color w:val="FFFFFF"/>
                <w:sz w:val="21"/>
              </w:rPr>
              <w:t>Lectura Estratégica para Mita</w:t>
            </w:r>
          </w:p>
        </w:tc>
      </w:tr>
      <w:tr>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Bolsa Transaccional Mita SCZ</w:t>
            </w:r>
          </w:p>
        </w:tc>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Bs 15,400 millones (USD 2.21B)</w:t>
            </w:r>
          </w:p>
        </w:tc>
        <w:tc>
          <w:tcPr>
            <w:tcW w:type="dxa" w:w="3600"/>
            <w:shd w:fill="FFFFFF"/>
            <w:tcMar>
              <w:top w:w="100" w:type="dxa"/>
              <w:bottom w:w="100" w:type="dxa"/>
              <w:left w:w="150" w:type="dxa"/>
              <w:right w:w="150" w:type="dxa"/>
            </w:tcMar>
          </w:tcPr>
          <w:p>
            <w:pPr>
              <w:spacing w:after="40"/>
              <w:jc w:val="left"/>
            </w:pPr>
            <w:r/>
            <w:r>
              <w:rPr>
                <w:rFonts w:ascii="Calibri" w:hAnsi="Calibri"/>
                <w:color w:val="333333"/>
                <w:sz w:val="20"/>
              </w:rPr>
              <w:t>Suma de construcción y actividades inmobiliarias/alquileres en Santa Cruz. Inferencia Mita sobre INE SCZ 2024.</w:t>
            </w:r>
          </w:p>
        </w:tc>
      </w:tr>
      <w:tr>
        <w:tc>
          <w:tcPr>
            <w:tcW w:type="dxa" w:w="2880"/>
            <w:shd w:fill="F2F5F8"/>
            <w:tcMar>
              <w:top w:w="100" w:type="dxa"/>
              <w:bottom w:w="100" w:type="dxa"/>
              <w:left w:w="150" w:type="dxa"/>
              <w:right w:w="150" w:type="dxa"/>
            </w:tcMar>
          </w:tcPr>
          <w:p>
            <w:pPr>
              <w:spacing w:after="40"/>
              <w:jc w:val="left"/>
            </w:pPr>
            <w:r/>
            <w:r>
              <w:rPr>
                <w:rFonts w:ascii="Calibri" w:hAnsi="Calibri"/>
                <w:color w:val="333333"/>
                <w:sz w:val="20"/>
              </w:rPr>
              <w:t>Peso Macroeconómico</w:t>
            </w:r>
          </w:p>
        </w:tc>
        <w:tc>
          <w:tcPr>
            <w:tcW w:type="dxa" w:w="2880"/>
            <w:shd w:fill="F2F5F8"/>
            <w:tcMar>
              <w:top w:w="100" w:type="dxa"/>
              <w:bottom w:w="100" w:type="dxa"/>
              <w:left w:w="150" w:type="dxa"/>
              <w:right w:w="150" w:type="dxa"/>
            </w:tcMar>
          </w:tcPr>
          <w:p>
            <w:pPr>
              <w:spacing w:after="40"/>
              <w:jc w:val="left"/>
            </w:pPr>
            <w:r/>
            <w:r>
              <w:rPr>
                <w:rFonts w:ascii="Calibri" w:hAnsi="Calibri"/>
                <w:color w:val="333333"/>
                <w:sz w:val="20"/>
              </w:rPr>
              <w:t>13.3% del PIB Departamental</w:t>
            </w:r>
          </w:p>
        </w:tc>
        <w:tc>
          <w:tcPr>
            <w:tcW w:type="dxa" w:w="3600"/>
            <w:shd w:fill="F2F5F8"/>
            <w:tcMar>
              <w:top w:w="100" w:type="dxa"/>
              <w:bottom w:w="100" w:type="dxa"/>
              <w:left w:w="150" w:type="dxa"/>
              <w:right w:w="150" w:type="dxa"/>
            </w:tcMar>
          </w:tcPr>
          <w:p>
            <w:pPr>
              <w:spacing w:after="40"/>
              <w:jc w:val="left"/>
            </w:pPr>
            <w:r/>
            <w:r>
              <w:rPr>
                <w:rFonts w:ascii="Calibri" w:hAnsi="Calibri"/>
                <w:color w:val="333333"/>
                <w:sz w:val="20"/>
              </w:rPr>
              <w:t>Representa un sector de escala equivalente al sector agropecuario cruceño y es más grande que todo el comercio local.</w:t>
            </w:r>
          </w:p>
        </w:tc>
      </w:tr>
      <w:tr>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Resiliencia Inmobiliaria (2024)</w:t>
            </w:r>
          </w:p>
        </w:tc>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+7.42% Crecimiento Real</w:t>
            </w:r>
          </w:p>
        </w:tc>
        <w:tc>
          <w:tcPr>
            <w:tcW w:type="dxa" w:w="3600"/>
            <w:shd w:fill="FFFFFF"/>
            <w:tcMar>
              <w:top w:w="100" w:type="dxa"/>
              <w:bottom w:w="100" w:type="dxa"/>
              <w:left w:w="150" w:type="dxa"/>
              <w:right w:w="150" w:type="dxa"/>
            </w:tcMar>
          </w:tcPr>
          <w:p>
            <w:pPr>
              <w:spacing w:after="40"/>
              <w:jc w:val="left"/>
            </w:pPr>
            <w:r/>
            <w:r>
              <w:rPr>
                <w:rFonts w:ascii="Calibri" w:hAnsi="Calibri"/>
                <w:color w:val="333333"/>
                <w:sz w:val="20"/>
              </w:rPr>
              <w:t>Las actividades inmobiliarias crecieron a pesar de la contracción general del PIB cruceño (-3.05%), validando una demanda contracíclica.</w:t>
            </w:r>
          </w:p>
        </w:tc>
      </w:tr>
      <w:tr>
        <w:tc>
          <w:tcPr>
            <w:tcW w:type="dxa" w:w="2880"/>
            <w:shd w:fill="F2F5F8"/>
            <w:tcMar>
              <w:top w:w="100" w:type="dxa"/>
              <w:bottom w:w="100" w:type="dxa"/>
              <w:left w:w="150" w:type="dxa"/>
              <w:right w:w="150" w:type="dxa"/>
            </w:tcMar>
          </w:tcPr>
          <w:p>
            <w:pPr>
              <w:spacing w:after="40"/>
              <w:jc w:val="left"/>
            </w:pPr>
            <w:r/>
            <w:r>
              <w:rPr>
                <w:rFonts w:ascii="Calibri" w:hAnsi="Calibri"/>
                <w:color w:val="333333"/>
                <w:sz w:val="20"/>
              </w:rPr>
              <w:t>Demanda de Información Anual</w:t>
            </w:r>
          </w:p>
        </w:tc>
        <w:tc>
          <w:tcPr>
            <w:tcW w:type="dxa" w:w="2880"/>
            <w:shd w:fill="F2F5F8"/>
            <w:tcMar>
              <w:top w:w="100" w:type="dxa"/>
              <w:bottom w:w="100" w:type="dxa"/>
              <w:left w:w="150" w:type="dxa"/>
              <w:right w:w="150" w:type="dxa"/>
            </w:tcMar>
          </w:tcPr>
          <w:p>
            <w:pPr>
              <w:spacing w:after="40"/>
              <w:jc w:val="left"/>
            </w:pPr>
            <w:r/>
            <w:r>
              <w:rPr>
                <w:rFonts w:ascii="Calibri" w:hAnsi="Calibri"/>
                <w:color w:val="333333"/>
                <w:sz w:val="20"/>
              </w:rPr>
              <w:t>33,500 - 69,000 decisiones/año</w:t>
            </w:r>
          </w:p>
        </w:tc>
        <w:tc>
          <w:tcPr>
            <w:tcW w:type="dxa" w:w="3600"/>
            <w:shd w:fill="F2F5F8"/>
            <w:tcMar>
              <w:top w:w="100" w:type="dxa"/>
              <w:bottom w:w="100" w:type="dxa"/>
              <w:left w:w="150" w:type="dxa"/>
              <w:right w:w="150" w:type="dxa"/>
            </w:tcMar>
          </w:tcPr>
          <w:p>
            <w:pPr>
              <w:spacing w:after="40"/>
              <w:jc w:val="left"/>
            </w:pPr>
            <w:r/>
            <w:r>
              <w:rPr>
                <w:rFonts w:ascii="Calibri" w:hAnsi="Calibri"/>
                <w:color w:val="333333"/>
                <w:sz w:val="20"/>
              </w:rPr>
              <w:t>Volumen de búsquedas anuales de inmuebles comerciales, productivos y de vivienda en Santa Cruz.</w:t>
            </w:r>
          </w:p>
        </w:tc>
      </w:tr>
      <w:tr>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SAM Digital Direccionable</w:t>
            </w:r>
          </w:p>
        </w:tc>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USD 0.6M - 4.7M / año</w:t>
            </w:r>
          </w:p>
        </w:tc>
        <w:tc>
          <w:tcPr>
            <w:tcW w:type="dxa" w:w="3600"/>
            <w:shd w:fill="FFFFFF"/>
            <w:tcMar>
              <w:top w:w="100" w:type="dxa"/>
              <w:bottom w:w="100" w:type="dxa"/>
              <w:left w:w="150" w:type="dxa"/>
              <w:right w:w="150" w:type="dxa"/>
            </w:tcMar>
          </w:tcPr>
          <w:p>
            <w:pPr>
              <w:spacing w:after="40"/>
              <w:jc w:val="left"/>
            </w:pPr>
            <w:r/>
            <w:r>
              <w:rPr>
                <w:rFonts w:ascii="Calibri" w:hAnsi="Calibri"/>
                <w:color w:val="333333"/>
                <w:sz w:val="20"/>
              </w:rPr>
              <w:t>Mercado potencial de cobro de SaaS a agentes, venta de leads calificados, mejora de publicaciones y analítica de datos en Santa Cruz.</w:t>
            </w:r>
          </w:p>
        </w:tc>
      </w:tr>
    </w:tbl>
    <w:p>
      <w:pPr>
        <w:spacing w:after="120"/>
      </w:pPr>
    </w:p>
    <w:p>
      <w:pPr>
        <w:spacing w:after="120" w:line="276" w:lineRule="auto"/>
        <w:jc w:val="left"/>
      </w:pPr>
      <w:r>
        <w:rPr>
          <w:rFonts w:ascii="Calibri" w:hAnsi="Calibri"/>
          <w:b w:val="0"/>
          <w:i/>
          <w:color w:val="333333"/>
          <w:sz w:val="19"/>
        </w:rPr>
        <w:t>*Nota metodológica: Las cifras del mercado corresponden a inferencias propias del equipo Mita basadas en los reportes anuales de cuentas nacionales departamentales del INE y SEPREC. La resiliencia real del sector inmobiliario (+7.42%) en un año de recesión general (-3.05%) demuestra que en periodos de crisis las empresas y familias aceleran la rotación de alquileres para optimizar costos, incrementando el uso de herramientas de búsqueda como Mita.*</w:t>
      </w:r>
    </w:p>
    <w:p>
      <w:pPr>
        <w:pStyle w:val="Heading1"/>
        <w:spacing w:before="240" w:after="120"/>
      </w:pPr>
      <w:r>
        <w:rPr>
          <w:rFonts w:ascii="Calibri" w:hAnsi="Calibri"/>
          <w:b/>
          <w:color w:val="184C78"/>
          <w:sz w:val="28"/>
        </w:rPr>
        <w:t>4. Propuesta de solución y flujos</w:t>
      </w:r>
    </w:p>
    <w:p>
      <w:pPr>
        <w:spacing w:after="120" w:line="276" w:lineRule="auto"/>
        <w:jc w:val="left"/>
      </w:pPr>
      <w:r>
        <w:rPr>
          <w:rFonts w:ascii="Calibri" w:hAnsi="Calibri"/>
          <w:b w:val="0"/>
          <w:i w:val="0"/>
          <w:color w:val="333333"/>
          <w:sz w:val="22"/>
        </w:rPr>
        <w:t>Mita actúa como una capa inteligente sobre la infraestructura de datos existente. En lugar de competir como un portal inmobiliario tradicional, captura las publicaciones desordenadas y las procesa para ofrecer un shortlist claro y justificado. El usuario interactúa mediante lenguaje natural conversacional, eliminando la fricción de búsqueda.</w:t>
      </w:r>
    </w:p>
    <w:p>
      <w:pPr>
        <w:spacing w:after="120" w:line="276" w:lineRule="auto"/>
        <w:jc w:val="left"/>
      </w:pPr>
      <w:r>
        <w:rPr>
          <w:rFonts w:ascii="Calibri" w:hAnsi="Calibri"/>
          <w:b w:val="0"/>
          <w:i w:val="0"/>
          <w:color w:val="333333"/>
          <w:sz w:val="22"/>
        </w:rPr>
        <w:t>A continuación, se presenta el flujo de pantallas y navegación del frontend del MVP de Mita, detallando la transición desde el ingreso de la búsqueda conversacional, el motor de ranking explicativo, el comparador de propiedades y la generación de leads calificados con contacto directo por WhatsApp:</w:t>
      </w:r>
    </w:p>
    <w:p>
      <w:pPr>
        <w:spacing w:before="160" w:after="80"/>
        <w:jc w:val="center"/>
      </w:pPr>
      <w:r>
        <w:drawing>
          <wp:inline xmlns:a="http://schemas.openxmlformats.org/drawingml/2006/main" xmlns:pic="http://schemas.openxmlformats.org/drawingml/2006/picture">
            <wp:extent cx="5029200" cy="557436"/>
            <wp:docPr id="1" name="Picture 1"/>
            <wp:cNvGraphicFramePr>
              <a:graphicFrameLocks noChangeAspect="1"/>
            </wp:cNvGraphicFramePr>
            <a:graphic>
              <a:graphicData uri="http://schemas.openxmlformats.org/drawingml/2006/picture">
                <pic:pic>
                  <pic:nvPicPr>
                    <pic:cNvPr id="0" name="frontend-screens.png"/>
                    <pic:cNvPicPr/>
                  </pic:nvPicPr>
                  <pic:blipFill>
                    <a:blip r:embed="rId9"/>
                    <a:stretch>
                      <a:fillRect/>
                    </a:stretch>
                  </pic:blipFill>
                  <pic:spPr>
                    <a:xfrm>
                      <a:off x="0" y="0"/>
                      <a:ext cx="5029200" cy="557436"/>
                    </a:xfrm>
                    <a:prstGeom prst="rect"/>
                  </pic:spPr>
                </pic:pic>
              </a:graphicData>
            </a:graphic>
          </wp:inline>
        </w:drawing>
      </w:r>
    </w:p>
    <w:p>
      <w:pPr>
        <w:spacing w:after="200"/>
        <w:jc w:val="center"/>
      </w:pPr>
      <w:r>
        <w:rPr>
          <w:rFonts w:ascii="Calibri" w:hAnsi="Calibri"/>
          <w:i/>
          <w:color w:val="646464"/>
          <w:sz w:val="19"/>
        </w:rPr>
        <w:t>Diagrama 1: Flujo de Navegación y Pantallas del Frontend de Mita (PlantUML compilado)</w:t>
      </w:r>
    </w:p>
    <w:p>
      <w:pPr>
        <w:spacing w:after="120" w:line="276" w:lineRule="auto"/>
        <w:jc w:val="left"/>
      </w:pPr>
      <w:r>
        <w:rPr>
          <w:rFonts w:ascii="Calibri" w:hAnsi="Calibri"/>
          <w:b w:val="0"/>
          <w:i w:val="0"/>
          <w:color w:val="333333"/>
          <w:sz w:val="22"/>
        </w:rPr>
        <w:t>Asimismo, el comparador de propiedades evalúa de manera automática los atributos de dos o más opciones frente a los criterios del usuario, calculando una puntuación de coincidencia ponderada y justificando mediante lenguaje natural cuál de ellas es más conveniente para su operación de negocio:</w:t>
      </w:r>
    </w:p>
    <w:p>
      <w:pPr>
        <w:spacing w:before="160" w:after="80"/>
        <w:jc w:val="center"/>
      </w:pPr>
      <w:r>
        <w:drawing>
          <wp:inline xmlns:a="http://schemas.openxmlformats.org/drawingml/2006/main" xmlns:pic="http://schemas.openxmlformats.org/drawingml/2006/picture">
            <wp:extent cx="5029200" cy="3501639"/>
            <wp:docPr id="2" name="Picture 2"/>
            <wp:cNvGraphicFramePr>
              <a:graphicFrameLocks noChangeAspect="1"/>
            </wp:cNvGraphicFramePr>
            <a:graphic>
              <a:graphicData uri="http://schemas.openxmlformats.org/drawingml/2006/picture">
                <pic:pic>
                  <pic:nvPicPr>
                    <pic:cNvPr id="0" name="comparador-propiedades.png"/>
                    <pic:cNvPicPr/>
                  </pic:nvPicPr>
                  <pic:blipFill>
                    <a:blip r:embed="rId10"/>
                    <a:stretch>
                      <a:fillRect/>
                    </a:stretch>
                  </pic:blipFill>
                  <pic:spPr>
                    <a:xfrm>
                      <a:off x="0" y="0"/>
                      <a:ext cx="5029200" cy="3501639"/>
                    </a:xfrm>
                    <a:prstGeom prst="rect"/>
                  </pic:spPr>
                </pic:pic>
              </a:graphicData>
            </a:graphic>
          </wp:inline>
        </w:drawing>
      </w:r>
    </w:p>
    <w:p>
      <w:pPr>
        <w:spacing w:after="200"/>
        <w:jc w:val="center"/>
      </w:pPr>
      <w:r>
        <w:rPr>
          <w:rFonts w:ascii="Calibri" w:hAnsi="Calibri"/>
          <w:i/>
          <w:color w:val="646464"/>
          <w:sz w:val="19"/>
        </w:rPr>
        <w:t>Diagrama 2: Proceso de Comparación y Matching Explicable de Inmuebles (PlantUML compilado)</w:t>
      </w:r>
    </w:p>
    <w:p>
      <w:pPr>
        <w:pStyle w:val="Heading1"/>
        <w:spacing w:before="240" w:after="120"/>
      </w:pPr>
      <w:r>
        <w:rPr>
          <w:rFonts w:ascii="Calibri" w:hAnsi="Calibri"/>
          <w:b/>
          <w:color w:val="184C78"/>
          <w:sz w:val="28"/>
        </w:rPr>
        <w:t>5. Producto MVP y alcance</w:t>
      </w:r>
    </w:p>
    <w:p>
      <w:pPr>
        <w:spacing w:after="120" w:line="276" w:lineRule="auto"/>
        <w:jc w:val="left"/>
      </w:pPr>
      <w:r>
        <w:rPr>
          <w:rFonts w:ascii="Calibri" w:hAnsi="Calibri"/>
          <w:b w:val="0"/>
          <w:i w:val="0"/>
          <w:color w:val="333333"/>
          <w:sz w:val="22"/>
        </w:rPr>
        <w:t>El MVP (Mínimo Producto Viable) de Mita desarrollado para la Hackathon demuestra las capacidades fundamentales para validar el negocio y la tecnología. Los módulos y el valor de negocio de cada uno se desglosan en la siguiente tabla:</w:t>
      </w:r>
    </w:p>
    <w:tbl>
      <w:tblPr>
        <w:tblW w:type="auto" w:w="0"/>
        <w:tblLayout w:type="fixed"/>
        <w:tblLook w:firstColumn="1" w:firstRow="1" w:lastColumn="0" w:lastRow="0" w:noHBand="0" w:noVBand="1" w:val="04A0"/>
      </w:tblPr>
      <w:tblGrid>
        <w:gridCol w:w="3120"/>
        <w:gridCol w:w="3120"/>
        <w:gridCol w:w="3120"/>
      </w:tblGrid>
      <w:tr>
        <w:tc>
          <w:tcPr>
            <w:tcW w:type="dxa" w:w="2880"/>
            <w:shd w:fill="184C78"/>
            <w:tcMar>
              <w:top w:w="120" w:type="dxa"/>
              <w:bottom w:w="120" w:type="dxa"/>
              <w:left w:w="150" w:type="dxa"/>
              <w:right w:w="150" w:type="dxa"/>
            </w:tcMar>
          </w:tcPr>
          <w:p>
            <w:pPr>
              <w:spacing w:after="40"/>
              <w:jc w:val="left"/>
            </w:pPr>
            <w:r/>
            <w:r>
              <w:rPr>
                <w:rFonts w:ascii="Calibri" w:hAnsi="Calibri"/>
                <w:b/>
                <w:color w:val="FFFFFF"/>
                <w:sz w:val="21"/>
              </w:rPr>
              <w:t>Módulo del Producto</w:t>
            </w:r>
          </w:p>
        </w:tc>
        <w:tc>
          <w:tcPr>
            <w:tcW w:type="dxa" w:w="3312"/>
            <w:shd w:fill="184C78"/>
            <w:tcMar>
              <w:top w:w="120" w:type="dxa"/>
              <w:bottom w:w="120" w:type="dxa"/>
              <w:left w:w="150" w:type="dxa"/>
              <w:right w:w="150" w:type="dxa"/>
            </w:tcMar>
          </w:tcPr>
          <w:p>
            <w:pPr>
              <w:spacing w:after="40"/>
              <w:jc w:val="left"/>
            </w:pPr>
            <w:r/>
            <w:r>
              <w:rPr>
                <w:rFonts w:ascii="Calibri" w:hAnsi="Calibri"/>
                <w:b/>
                <w:color w:val="FFFFFF"/>
                <w:sz w:val="21"/>
              </w:rPr>
              <w:t>Funcionalidad Demostrada</w:t>
            </w:r>
          </w:p>
        </w:tc>
        <w:tc>
          <w:tcPr>
            <w:tcW w:type="dxa" w:w="3168"/>
            <w:shd w:fill="184C78"/>
            <w:tcMar>
              <w:top w:w="120" w:type="dxa"/>
              <w:bottom w:w="120" w:type="dxa"/>
              <w:left w:w="150" w:type="dxa"/>
              <w:right w:w="150" w:type="dxa"/>
            </w:tcMar>
          </w:tcPr>
          <w:p>
            <w:pPr>
              <w:spacing w:after="40"/>
              <w:jc w:val="left"/>
            </w:pPr>
            <w:r/>
            <w:r>
              <w:rPr>
                <w:rFonts w:ascii="Calibri" w:hAnsi="Calibri"/>
                <w:b/>
                <w:color w:val="FFFFFF"/>
                <w:sz w:val="21"/>
              </w:rPr>
              <w:t>Valor Estratégico y de Negocio</w:t>
            </w:r>
          </w:p>
        </w:tc>
      </w:tr>
      <w:tr>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Normalizador IA</w:t>
            </w:r>
          </w:p>
        </w:tc>
        <w:tc>
          <w:tcPr>
            <w:tcW w:type="dxa" w:w="3312"/>
            <w:shd w:fill="FFFFFF"/>
            <w:tcMar>
              <w:top w:w="100" w:type="dxa"/>
              <w:bottom w:w="100" w:type="dxa"/>
              <w:left w:w="150" w:type="dxa"/>
              <w:right w:w="150" w:type="dxa"/>
            </w:tcMar>
          </w:tcPr>
          <w:p>
            <w:pPr>
              <w:spacing w:after="40"/>
              <w:jc w:val="left"/>
            </w:pPr>
            <w:r/>
            <w:r>
              <w:rPr>
                <w:rFonts w:ascii="Calibri" w:hAnsi="Calibri"/>
                <w:color w:val="333333"/>
                <w:sz w:val="20"/>
              </w:rPr>
              <w:t>Ingesta texto informal de redes y lo convierte a formato JSON estructurado.</w:t>
            </w:r>
          </w:p>
        </w:tc>
        <w:tc>
          <w:tcPr>
            <w:tcW w:type="dxa" w:w="3168"/>
            <w:shd w:fill="FFFFFF"/>
            <w:tcMar>
              <w:top w:w="100" w:type="dxa"/>
              <w:bottom w:w="100" w:type="dxa"/>
              <w:left w:w="150" w:type="dxa"/>
              <w:right w:w="150" w:type="dxa"/>
            </w:tcMar>
          </w:tcPr>
          <w:p>
            <w:pPr>
              <w:spacing w:after="40"/>
              <w:jc w:val="left"/>
            </w:pPr>
            <w:r/>
            <w:r>
              <w:rPr>
                <w:rFonts w:ascii="Calibri" w:hAnsi="Calibri"/>
                <w:color w:val="333333"/>
                <w:sz w:val="20"/>
              </w:rPr>
              <w:t>Demuestra la capacidad de limpiar datos sucios de manera barata y rápida a escala sin bases relacionales complejas.</w:t>
            </w:r>
          </w:p>
        </w:tc>
      </w:tr>
      <w:tr>
        <w:tc>
          <w:tcPr>
            <w:tcW w:type="dxa" w:w="2880"/>
            <w:shd w:fill="F2F5F8"/>
            <w:tcMar>
              <w:top w:w="100" w:type="dxa"/>
              <w:bottom w:w="100" w:type="dxa"/>
              <w:left w:w="150" w:type="dxa"/>
              <w:right w:w="150" w:type="dxa"/>
            </w:tcMar>
          </w:tcPr>
          <w:p>
            <w:pPr>
              <w:spacing w:after="40"/>
              <w:jc w:val="left"/>
            </w:pPr>
            <w:r/>
            <w:r>
              <w:rPr>
                <w:rFonts w:ascii="Calibri" w:hAnsi="Calibri"/>
                <w:color w:val="333333"/>
                <w:sz w:val="20"/>
              </w:rPr>
              <w:t>Búsqueda Conversacional</w:t>
            </w:r>
          </w:p>
        </w:tc>
        <w:tc>
          <w:tcPr>
            <w:tcW w:type="dxa" w:w="3312"/>
            <w:shd w:fill="F2F5F8"/>
            <w:tcMar>
              <w:top w:w="100" w:type="dxa"/>
              <w:bottom w:w="100" w:type="dxa"/>
              <w:left w:w="150" w:type="dxa"/>
              <w:right w:w="150" w:type="dxa"/>
            </w:tcMar>
          </w:tcPr>
          <w:p>
            <w:pPr>
              <w:spacing w:after="40"/>
              <w:jc w:val="left"/>
            </w:pPr>
            <w:r/>
            <w:r>
              <w:rPr>
                <w:rFonts w:ascii="Calibri" w:hAnsi="Calibri"/>
                <w:color w:val="333333"/>
                <w:sz w:val="20"/>
              </w:rPr>
              <w:t>Interpreta consultas abiertas en lenguaje natural extrayendo intención, zona y presupuesto.</w:t>
            </w:r>
          </w:p>
        </w:tc>
        <w:tc>
          <w:tcPr>
            <w:tcW w:type="dxa" w:w="3168"/>
            <w:shd w:fill="F2F5F8"/>
            <w:tcMar>
              <w:top w:w="100" w:type="dxa"/>
              <w:bottom w:w="100" w:type="dxa"/>
              <w:left w:w="150" w:type="dxa"/>
              <w:right w:w="150" w:type="dxa"/>
            </w:tcMar>
          </w:tcPr>
          <w:p>
            <w:pPr>
              <w:spacing w:after="40"/>
              <w:jc w:val="left"/>
            </w:pPr>
            <w:r/>
            <w:r>
              <w:rPr>
                <w:rFonts w:ascii="Calibri" w:hAnsi="Calibri"/>
                <w:color w:val="333333"/>
                <w:sz w:val="20"/>
              </w:rPr>
              <w:t>Reemplaza los filtros rígidos tradicionales por una interfaz intuitiva adaptada al lenguaje coloquial del usuario.</w:t>
            </w:r>
          </w:p>
        </w:tc>
      </w:tr>
      <w:tr>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Ranking Explicable</w:t>
            </w:r>
          </w:p>
        </w:tc>
        <w:tc>
          <w:tcPr>
            <w:tcW w:type="dxa" w:w="3312"/>
            <w:shd w:fill="FFFFFF"/>
            <w:tcMar>
              <w:top w:w="100" w:type="dxa"/>
              <w:bottom w:w="100" w:type="dxa"/>
              <w:left w:w="150" w:type="dxa"/>
              <w:right w:w="150" w:type="dxa"/>
            </w:tcMar>
          </w:tcPr>
          <w:p>
            <w:pPr>
              <w:spacing w:after="40"/>
              <w:jc w:val="left"/>
            </w:pPr>
            <w:r/>
            <w:r>
              <w:rPr>
                <w:rFonts w:ascii="Calibri" w:hAnsi="Calibri"/>
                <w:color w:val="333333"/>
                <w:sz w:val="20"/>
              </w:rPr>
              <w:t>Evalúa compatibilidad semántica y operativa, mostrando justificación en español.</w:t>
            </w:r>
          </w:p>
        </w:tc>
        <w:tc>
          <w:tcPr>
            <w:tcW w:type="dxa" w:w="3168"/>
            <w:shd w:fill="FFFFFF"/>
            <w:tcMar>
              <w:top w:w="100" w:type="dxa"/>
              <w:bottom w:w="100" w:type="dxa"/>
              <w:left w:w="150" w:type="dxa"/>
              <w:right w:w="150" w:type="dxa"/>
            </w:tcMar>
          </w:tcPr>
          <w:p>
            <w:pPr>
              <w:spacing w:after="40"/>
              <w:jc w:val="left"/>
            </w:pPr>
            <w:r/>
            <w:r>
              <w:rPr>
                <w:rFonts w:ascii="Calibri" w:hAnsi="Calibri"/>
                <w:color w:val="333333"/>
                <w:sz w:val="20"/>
              </w:rPr>
              <w:t>Brinda transparencia y confianza, ayudando al usuario a entender tradeoffs reales de ubicación, servicios y precio.</w:t>
            </w:r>
          </w:p>
        </w:tc>
      </w:tr>
      <w:tr>
        <w:tc>
          <w:tcPr>
            <w:tcW w:type="dxa" w:w="2880"/>
            <w:shd w:fill="F2F5F8"/>
            <w:tcMar>
              <w:top w:w="100" w:type="dxa"/>
              <w:bottom w:w="100" w:type="dxa"/>
              <w:left w:w="150" w:type="dxa"/>
              <w:right w:w="150" w:type="dxa"/>
            </w:tcMar>
          </w:tcPr>
          <w:p>
            <w:pPr>
              <w:spacing w:after="40"/>
              <w:jc w:val="left"/>
            </w:pPr>
            <w:r/>
            <w:r>
              <w:rPr>
                <w:rFonts w:ascii="Calibri" w:hAnsi="Calibri"/>
                <w:color w:val="333333"/>
                <w:sz w:val="20"/>
              </w:rPr>
              <w:t>Comparador Multivariable</w:t>
            </w:r>
          </w:p>
        </w:tc>
        <w:tc>
          <w:tcPr>
            <w:tcW w:type="dxa" w:w="3312"/>
            <w:shd w:fill="F2F5F8"/>
            <w:tcMar>
              <w:top w:w="100" w:type="dxa"/>
              <w:bottom w:w="100" w:type="dxa"/>
              <w:left w:w="150" w:type="dxa"/>
              <w:right w:w="150" w:type="dxa"/>
            </w:tcMar>
          </w:tcPr>
          <w:p>
            <w:pPr>
              <w:spacing w:after="40"/>
              <w:jc w:val="left"/>
            </w:pPr>
            <w:r/>
            <w:r>
              <w:rPr>
                <w:rFonts w:ascii="Calibri" w:hAnsi="Calibri"/>
                <w:color w:val="333333"/>
                <w:sz w:val="20"/>
              </w:rPr>
              <w:t>Cruza hasta 3 propiedades evaluando pros, contras y alertas comerciales.</w:t>
            </w:r>
          </w:p>
        </w:tc>
        <w:tc>
          <w:tcPr>
            <w:tcW w:type="dxa" w:w="3168"/>
            <w:shd w:fill="F2F5F8"/>
            <w:tcMar>
              <w:top w:w="100" w:type="dxa"/>
              <w:bottom w:w="100" w:type="dxa"/>
              <w:left w:w="150" w:type="dxa"/>
              <w:right w:w="150" w:type="dxa"/>
            </w:tcMar>
          </w:tcPr>
          <w:p>
            <w:pPr>
              <w:spacing w:after="40"/>
              <w:jc w:val="left"/>
            </w:pPr>
            <w:r/>
            <w:r>
              <w:rPr>
                <w:rFonts w:ascii="Calibri" w:hAnsi="Calibri"/>
                <w:color w:val="333333"/>
                <w:sz w:val="20"/>
              </w:rPr>
              <w:t>Ayuda a emprendedores a tomar decisiones complejas de viabilidad (ej. permisos comerciales o visibilidad).</w:t>
            </w:r>
          </w:p>
        </w:tc>
      </w:tr>
      <w:tr>
        <w:tc>
          <w:tcPr>
            <w:tcW w:type="dxa" w:w="2880"/>
            <w:shd w:fill="FFFFFF"/>
            <w:tcMar>
              <w:top w:w="100" w:type="dxa"/>
              <w:bottom w:w="100" w:type="dxa"/>
              <w:left w:w="150" w:type="dxa"/>
              <w:right w:w="150" w:type="dxa"/>
            </w:tcMar>
          </w:tcPr>
          <w:p>
            <w:pPr>
              <w:spacing w:after="40"/>
              <w:jc w:val="left"/>
            </w:pPr>
            <w:r/>
            <w:r>
              <w:rPr>
                <w:rFonts w:ascii="Calibri" w:hAnsi="Calibri"/>
                <w:color w:val="333333"/>
                <w:sz w:val="20"/>
              </w:rPr>
              <w:t>WhatsApp Lead Integrator</w:t>
            </w:r>
          </w:p>
        </w:tc>
        <w:tc>
          <w:tcPr>
            <w:tcW w:type="dxa" w:w="3312"/>
            <w:shd w:fill="FFFFFF"/>
            <w:tcMar>
              <w:top w:w="100" w:type="dxa"/>
              <w:bottom w:w="100" w:type="dxa"/>
              <w:left w:w="150" w:type="dxa"/>
              <w:right w:w="150" w:type="dxa"/>
            </w:tcMar>
          </w:tcPr>
          <w:p>
            <w:pPr>
              <w:spacing w:after="40"/>
              <w:jc w:val="left"/>
            </w:pPr>
            <w:r/>
            <w:r>
              <w:rPr>
                <w:rFonts w:ascii="Calibri" w:hAnsi="Calibri"/>
                <w:color w:val="333333"/>
                <w:sz w:val="20"/>
              </w:rPr>
              <w:t>Genera mensajes estructurados con la justificación del match para el agente.</w:t>
            </w:r>
          </w:p>
        </w:tc>
        <w:tc>
          <w:tcPr>
            <w:tcW w:type="dxa" w:w="3168"/>
            <w:shd w:fill="FFFFFF"/>
            <w:tcMar>
              <w:top w:w="100" w:type="dxa"/>
              <w:bottom w:w="100" w:type="dxa"/>
              <w:left w:w="150" w:type="dxa"/>
              <w:right w:w="150" w:type="dxa"/>
            </w:tcMar>
          </w:tcPr>
          <w:p>
            <w:pPr>
              <w:spacing w:after="40"/>
              <w:jc w:val="left"/>
            </w:pPr>
            <w:r/>
            <w:r>
              <w:rPr>
                <w:rFonts w:ascii="Calibri" w:hAnsi="Calibri"/>
                <w:color w:val="333333"/>
                <w:sz w:val="20"/>
              </w:rPr>
              <w:t>Conecta el producto de software directamente con el negocio y la generación de ingresos B2B por lead calificado.</w:t>
            </w:r>
          </w:p>
        </w:tc>
      </w:tr>
    </w:tbl>
    <w:p>
      <w:pPr>
        <w:spacing w:after="120"/>
      </w:pPr>
    </w:p>
    <w:p>
      <w:pPr>
        <w:spacing w:after="120" w:line="276" w:lineRule="auto"/>
        <w:jc w:val="left"/>
      </w:pPr>
      <w:r>
        <w:rPr>
          <w:rFonts w:ascii="Calibri" w:hAnsi="Calibri"/>
          <w:b w:val="0"/>
          <w:i w:val="0"/>
          <w:color w:val="333333"/>
          <w:sz w:val="22"/>
        </w:rPr>
        <w:t>En el 'Modo Agente', Mita permite a los corredores e inmobiliarias introducir una publicación desordenada, incompleta o con mala redacción y obtener una propuesta de publicación mejorada enriquecida por la IA. El sistema identifica automáticamente qué datos críticos faltan (ej. si falta el área en m2, expensas o parqueo) y sugiere cómo estructurarla para maximizar su conversión:</w:t>
      </w:r>
    </w:p>
    <w:p>
      <w:pPr>
        <w:spacing w:before="160" w:after="80"/>
        <w:jc w:val="center"/>
      </w:pPr>
      <w:r>
        <w:drawing>
          <wp:inline xmlns:a="http://schemas.openxmlformats.org/drawingml/2006/main" xmlns:pic="http://schemas.openxmlformats.org/drawingml/2006/picture">
            <wp:extent cx="5029200" cy="3474148"/>
            <wp:docPr id="3" name="Picture 3"/>
            <wp:cNvGraphicFramePr>
              <a:graphicFrameLocks noChangeAspect="1"/>
            </wp:cNvGraphicFramePr>
            <a:graphic>
              <a:graphicData uri="http://schemas.openxmlformats.org/drawingml/2006/picture">
                <pic:pic>
                  <pic:nvPicPr>
                    <pic:cNvPr id="0" name="mejorar-publicidad.png"/>
                    <pic:cNvPicPr/>
                  </pic:nvPicPr>
                  <pic:blipFill>
                    <a:blip r:embed="rId11"/>
                    <a:stretch>
                      <a:fillRect/>
                    </a:stretch>
                  </pic:blipFill>
                  <pic:spPr>
                    <a:xfrm>
                      <a:off x="0" y="0"/>
                      <a:ext cx="5029200" cy="3474148"/>
                    </a:xfrm>
                    <a:prstGeom prst="rect"/>
                  </pic:spPr>
                </pic:pic>
              </a:graphicData>
            </a:graphic>
          </wp:inline>
        </w:drawing>
      </w:r>
    </w:p>
    <w:p>
      <w:pPr>
        <w:spacing w:after="200"/>
        <w:jc w:val="center"/>
      </w:pPr>
      <w:r>
        <w:rPr>
          <w:rFonts w:ascii="Calibri" w:hAnsi="Calibri"/>
          <w:i/>
          <w:color w:val="646464"/>
          <w:sz w:val="19"/>
        </w:rPr>
        <w:t>Diagrama 3: Flujo de Enriquecimiento y Estructuración de Publicaciones en Modo Agente (PlantUML compilado)</w:t>
      </w:r>
    </w:p>
    <w:p>
      <w:pPr>
        <w:pStyle w:val="Heading1"/>
        <w:spacing w:before="240" w:after="120"/>
      </w:pPr>
      <w:r>
        <w:rPr>
          <w:rFonts w:ascii="Calibri" w:hAnsi="Calibri"/>
          <w:b/>
          <w:color w:val="184C78"/>
          <w:sz w:val="28"/>
        </w:rPr>
        <w:t>6. Aplicación técnica de IA, RAG y arquitectura</w:t>
      </w:r>
    </w:p>
    <w:p>
      <w:pPr>
        <w:spacing w:after="120" w:line="276" w:lineRule="auto"/>
        <w:jc w:val="left"/>
      </w:pPr>
      <w:r>
        <w:rPr>
          <w:rFonts w:ascii="Calibri" w:hAnsi="Calibri"/>
          <w:b w:val="0"/>
          <w:i w:val="0"/>
          <w:color w:val="333333"/>
          <w:sz w:val="22"/>
        </w:rPr>
        <w:t>El core tecnológico de Mita radica en la aplicación combinada de Modelos de Lenguaje (LLMs) mediante la API de Gemini y una base de datos PostgreSQL. La arquitectura sigue un enfoque RAG-lite (Retrieval-Augmented Generation sin vector store masivo externo, utilizando la base de datos PostgreSQL local enriquecida con metadatos estructurados e índices de texto, con capacidad de match semántico).</w:t>
      </w:r>
    </w:p>
    <w:p>
      <w:pPr>
        <w:spacing w:after="120" w:line="276" w:lineRule="auto"/>
        <w:jc w:val="left"/>
      </w:pPr>
      <w:r>
        <w:rPr>
          <w:rFonts w:ascii="Calibri" w:hAnsi="Calibri"/>
          <w:b w:val="0"/>
          <w:i w:val="0"/>
          <w:color w:val="333333"/>
          <w:sz w:val="22"/>
        </w:rPr>
        <w:t>El motor de procesamiento técnico ejecuta los siguientes pasos secuenciales:</w:t>
      </w:r>
    </w:p>
    <w:p>
      <w:pPr>
        <w:pStyle w:val="ListBullet"/>
        <w:spacing w:after="80" w:line="276" w:lineRule="auto"/>
      </w:pPr>
      <w:r>
        <w:rPr>
          <w:rFonts w:ascii="Calibri" w:hAnsi="Calibri"/>
          <w:color w:val="333333"/>
          <w:sz w:val="22"/>
        </w:rPr>
        <w:t>Extracción de Criterios (JSON Parsing): Cuando el usuario escribe una consulta natural, Mita utiliza Gemini con un prompt del sistema estricto para extraer un JSON con llaves como tipoPropiedad (ej. local, oficina, depósito), tipoUsoEspacio (ej. cafetería, logística, consultorio), presupuestoMax, zonaPreferencia, areaM2Minima y prioridades (ej. flujo peatonal, seguridad, trifásica).</w:t>
      </w:r>
    </w:p>
    <w:p>
      <w:pPr>
        <w:pStyle w:val="ListBullet"/>
        <w:spacing w:after="80" w:line="276" w:lineRule="auto"/>
      </w:pPr>
      <w:r>
        <w:rPr>
          <w:rFonts w:ascii="Calibri" w:hAnsi="Calibri"/>
          <w:color w:val="333333"/>
          <w:sz w:val="22"/>
        </w:rPr>
        <w:t>Búsqueda Semántica &amp; RAG-lite: A partir del texto de búsqueda y los criterios extraídos, el sistema consulta PostgreSQL para filtrar candidatos. Para afinar el matching, el RAG genera embeddings de la consulta del usuario a través del modelo de Gemini y calcula la similitud coseno contra los campos de descripción normalizados de las propiedades en la base de datos.</w:t>
      </w:r>
    </w:p>
    <w:p>
      <w:pPr>
        <w:pStyle w:val="ListBullet"/>
        <w:spacing w:after="80" w:line="276" w:lineRule="auto"/>
      </w:pPr>
      <w:r>
        <w:rPr>
          <w:rFonts w:ascii="Calibri" w:hAnsi="Calibri"/>
          <w:color w:val="333333"/>
          <w:sz w:val="22"/>
        </w:rPr>
        <w:t>Scoring Híbrido: Combina la similitud semántica con un algoritmo de penalización. Las propiedades que omiten datos críticos (ej. no especifican metros cuadrados o expensas) o que entran en conflicto con las prioridades del usuario reciben penalizaciones en su puntuación final, calculando el Trust Friction Index de la publicación.</w:t>
      </w:r>
    </w:p>
    <w:p>
      <w:pPr>
        <w:pStyle w:val="ListBullet"/>
        <w:spacing w:after="80" w:line="276" w:lineRule="auto"/>
      </w:pPr>
      <w:r>
        <w:rPr>
          <w:rFonts w:ascii="Calibri" w:hAnsi="Calibri"/>
          <w:color w:val="333333"/>
          <w:sz w:val="22"/>
        </w:rPr>
        <w:t>Generación de Explicaciones: Los 3 resultados de mayor coincidencia son enviados nuevamente a Gemini junto con los criterios extraídos del usuario. La IA genera una explicación en lenguaje natural detallando: Pros (por qué se ajusta al negocio), Contras (tradeoffs o limitaciones) y Alertas Críticas (ej. restricciones de zonificación municipal, parqueo inexistente, o falta de servicios básicos).</w:t>
      </w:r>
    </w:p>
    <w:p>
      <w:pPr>
        <w:spacing w:after="120" w:line="276" w:lineRule="auto"/>
        <w:jc w:val="left"/>
      </w:pPr>
      <w:r>
        <w:rPr>
          <w:rFonts w:ascii="Calibri" w:hAnsi="Calibri"/>
          <w:b w:val="0"/>
          <w:i w:val="0"/>
          <w:color w:val="333333"/>
          <w:sz w:val="22"/>
        </w:rPr>
        <w:t>A continuación, se detalla el diagrama de secuencia arquitectónica del flujo RAG-lite, detallando la interacción entre el Cliente Frontend, la API de Node.js, la base de datos PostgreSQL y la API de Gemini de Google:</w:t>
      </w:r>
    </w:p>
    <w:p>
      <w:pPr>
        <w:spacing w:before="160" w:after="80"/>
        <w:jc w:val="center"/>
      </w:pPr>
      <w:r>
        <w:drawing>
          <wp:inline xmlns:a="http://schemas.openxmlformats.org/drawingml/2006/main" xmlns:pic="http://schemas.openxmlformats.org/drawingml/2006/picture">
            <wp:extent cx="5303520" cy="3781013"/>
            <wp:docPr id="4" name="Picture 4"/>
            <wp:cNvGraphicFramePr>
              <a:graphicFrameLocks noChangeAspect="1"/>
            </wp:cNvGraphicFramePr>
            <a:graphic>
              <a:graphicData uri="http://schemas.openxmlformats.org/drawingml/2006/picture">
                <pic:pic>
                  <pic:nvPicPr>
                    <pic:cNvPr id="0" name="rag-lite.png"/>
                    <pic:cNvPicPr/>
                  </pic:nvPicPr>
                  <pic:blipFill>
                    <a:blip r:embed="rId12"/>
                    <a:stretch>
                      <a:fillRect/>
                    </a:stretch>
                  </pic:blipFill>
                  <pic:spPr>
                    <a:xfrm>
                      <a:off x="0" y="0"/>
                      <a:ext cx="5303520" cy="3781013"/>
                    </a:xfrm>
                    <a:prstGeom prst="rect"/>
                  </pic:spPr>
                </pic:pic>
              </a:graphicData>
            </a:graphic>
          </wp:inline>
        </w:drawing>
      </w:r>
    </w:p>
    <w:p>
      <w:pPr>
        <w:spacing w:after="200"/>
        <w:jc w:val="center"/>
      </w:pPr>
      <w:r>
        <w:rPr>
          <w:rFonts w:ascii="Calibri" w:hAnsi="Calibri"/>
          <w:i/>
          <w:color w:val="646464"/>
          <w:sz w:val="19"/>
        </w:rPr>
        <w:t>Diagrama 4: Arquitectura RAG-lite y Secuencia de Búsqueda Conversacional con Gemini (Diagrama Clave)</w:t>
      </w:r>
    </w:p>
    <w:p>
      <w:pPr>
        <w:spacing w:after="120" w:line="276" w:lineRule="auto"/>
        <w:jc w:val="left"/>
      </w:pPr>
      <w:r>
        <w:rPr>
          <w:rFonts w:ascii="Calibri" w:hAnsi="Calibri"/>
          <w:b w:val="0"/>
          <w:i w:val="0"/>
          <w:color w:val="333333"/>
          <w:sz w:val="22"/>
        </w:rPr>
        <w:t>Asimismo, para asegurar la integridad operativa y la persistencia de las búsquedas, el perfilado de usuarios, los registros de auditoría de matching de IA y el inventario de inmuebles, la base de datos relacional de PostgreSQL se estructura según el siguiente esquema entidad-relación:</w:t>
      </w:r>
    </w:p>
    <w:p>
      <w:pPr>
        <w:spacing w:before="160" w:after="80"/>
        <w:jc w:val="center"/>
      </w:pPr>
      <w:r>
        <w:drawing>
          <wp:inline xmlns:a="http://schemas.openxmlformats.org/drawingml/2006/main" xmlns:pic="http://schemas.openxmlformats.org/drawingml/2006/picture">
            <wp:extent cx="5029200" cy="7233684"/>
            <wp:docPr id="5" name="Picture 5"/>
            <wp:cNvGraphicFramePr>
              <a:graphicFrameLocks noChangeAspect="1"/>
            </wp:cNvGraphicFramePr>
            <a:graphic>
              <a:graphicData uri="http://schemas.openxmlformats.org/drawingml/2006/picture">
                <pic:pic>
                  <pic:nvPicPr>
                    <pic:cNvPr id="0" name="database.png"/>
                    <pic:cNvPicPr/>
                  </pic:nvPicPr>
                  <pic:blipFill>
                    <a:blip r:embed="rId13"/>
                    <a:stretch>
                      <a:fillRect/>
                    </a:stretch>
                  </pic:blipFill>
                  <pic:spPr>
                    <a:xfrm>
                      <a:off x="0" y="0"/>
                      <a:ext cx="5029200" cy="7233684"/>
                    </a:xfrm>
                    <a:prstGeom prst="rect"/>
                  </pic:spPr>
                </pic:pic>
              </a:graphicData>
            </a:graphic>
          </wp:inline>
        </w:drawing>
      </w:r>
    </w:p>
    <w:p>
      <w:pPr>
        <w:spacing w:after="200"/>
        <w:jc w:val="center"/>
      </w:pPr>
      <w:r>
        <w:rPr>
          <w:rFonts w:ascii="Calibri" w:hAnsi="Calibri"/>
          <w:i/>
          <w:color w:val="646464"/>
          <w:sz w:val="19"/>
        </w:rPr>
        <w:t>Diagrama 5: Modelo de Base de Datos y Esquema Entidad-Relación de Mita (PlantUML compilado)</w:t>
      </w:r>
    </w:p>
    <w:p>
      <w:pPr>
        <w:pStyle w:val="Heading1"/>
        <w:spacing w:before="240" w:after="120"/>
      </w:pPr>
      <w:r>
        <w:rPr>
          <w:rFonts w:ascii="Calibri" w:hAnsi="Calibri"/>
          <w:b/>
          <w:color w:val="184C78"/>
          <w:sz w:val="28"/>
        </w:rPr>
        <w:t>7. Modelo de negocio y monetización</w:t>
      </w:r>
    </w:p>
    <w:p>
      <w:pPr>
        <w:spacing w:after="120" w:line="276" w:lineRule="auto"/>
        <w:jc w:val="left"/>
      </w:pPr>
      <w:r>
        <w:rPr>
          <w:rFonts w:ascii="Calibri" w:hAnsi="Calibri"/>
          <w:b w:val="0"/>
          <w:i w:val="0"/>
          <w:color w:val="333333"/>
          <w:sz w:val="22"/>
        </w:rPr>
        <w:t>Mita adopta un modelo de monetización B2B SaaS híbrido enfocado en los agentes inmobiliarios, inmobiliarias y brokers de Santa Cruz de la Sierra. La búsqueda conversacional para el usuario final es y siempre será gratuita, lo que garantiza un flujo constante de demanda y volumen de datos de intención. Los ingresos provienen de tres líneas principales:</w:t>
      </w:r>
    </w:p>
    <w:tbl>
      <w:tblPr>
        <w:tblW w:type="auto" w:w="0"/>
        <w:tblLayout w:type="fixed"/>
        <w:tblLook w:firstColumn="1" w:firstRow="1" w:lastColumn="0" w:lastRow="0" w:noHBand="0" w:noVBand="1" w:val="04A0"/>
      </w:tblPr>
      <w:tblGrid>
        <w:gridCol w:w="2340"/>
        <w:gridCol w:w="2340"/>
        <w:gridCol w:w="2340"/>
        <w:gridCol w:w="2340"/>
      </w:tblGrid>
      <w:tr>
        <w:tc>
          <w:tcPr>
            <w:tcW w:type="dxa" w:w="2160"/>
            <w:shd w:fill="184C78"/>
            <w:tcMar>
              <w:top w:w="120" w:type="dxa"/>
              <w:bottom w:w="120" w:type="dxa"/>
              <w:left w:w="150" w:type="dxa"/>
              <w:right w:w="150" w:type="dxa"/>
            </w:tcMar>
          </w:tcPr>
          <w:p>
            <w:pPr>
              <w:spacing w:after="40"/>
              <w:jc w:val="left"/>
            </w:pPr>
            <w:r/>
            <w:r>
              <w:rPr>
                <w:rFonts w:ascii="Calibri" w:hAnsi="Calibri"/>
                <w:b/>
                <w:color w:val="FFFFFF"/>
                <w:sz w:val="21"/>
              </w:rPr>
              <w:t>Línea de Ingreso</w:t>
            </w:r>
          </w:p>
        </w:tc>
        <w:tc>
          <w:tcPr>
            <w:tcW w:type="dxa" w:w="1872"/>
            <w:shd w:fill="184C78"/>
            <w:tcMar>
              <w:top w:w="120" w:type="dxa"/>
              <w:bottom w:w="120" w:type="dxa"/>
              <w:left w:w="150" w:type="dxa"/>
              <w:right w:w="150" w:type="dxa"/>
            </w:tcMar>
          </w:tcPr>
          <w:p>
            <w:pPr>
              <w:spacing w:after="40"/>
              <w:jc w:val="left"/>
            </w:pPr>
            <w:r/>
            <w:r>
              <w:rPr>
                <w:rFonts w:ascii="Calibri" w:hAnsi="Calibri"/>
                <w:b/>
                <w:color w:val="FFFFFF"/>
                <w:sz w:val="21"/>
              </w:rPr>
              <w:t>Segmento Cliente</w:t>
            </w:r>
          </w:p>
        </w:tc>
        <w:tc>
          <w:tcPr>
            <w:tcW w:type="dxa" w:w="3312"/>
            <w:shd w:fill="184C78"/>
            <w:tcMar>
              <w:top w:w="120" w:type="dxa"/>
              <w:bottom w:w="120" w:type="dxa"/>
              <w:left w:w="150" w:type="dxa"/>
              <w:right w:w="150" w:type="dxa"/>
            </w:tcMar>
          </w:tcPr>
          <w:p>
            <w:pPr>
              <w:spacing w:after="40"/>
              <w:jc w:val="left"/>
            </w:pPr>
            <w:r/>
            <w:r>
              <w:rPr>
                <w:rFonts w:ascii="Calibri" w:hAnsi="Calibri"/>
                <w:b/>
                <w:color w:val="FFFFFF"/>
                <w:sz w:val="21"/>
              </w:rPr>
              <w:t>Supuestos de Mercado y Precios</w:t>
            </w:r>
          </w:p>
        </w:tc>
        <w:tc>
          <w:tcPr>
            <w:tcW w:type="dxa" w:w="2016"/>
            <w:shd w:fill="184C78"/>
            <w:tcMar>
              <w:top w:w="120" w:type="dxa"/>
              <w:bottom w:w="120" w:type="dxa"/>
              <w:left w:w="150" w:type="dxa"/>
              <w:right w:w="150" w:type="dxa"/>
            </w:tcMar>
          </w:tcPr>
          <w:p>
            <w:pPr>
              <w:spacing w:after="40"/>
              <w:jc w:val="left"/>
            </w:pPr>
            <w:r/>
            <w:r>
              <w:rPr>
                <w:rFonts w:ascii="Calibri" w:hAnsi="Calibri"/>
                <w:b/>
                <w:color w:val="FFFFFF"/>
                <w:sz w:val="21"/>
              </w:rPr>
              <w:t>Ingreso Potencial SCZ (Anual)</w:t>
            </w:r>
          </w:p>
        </w:tc>
      </w:tr>
      <w:tr>
        <w:tc>
          <w:tcPr>
            <w:tcW w:type="dxa" w:w="2160"/>
            <w:shd w:fill="FFFFFF"/>
            <w:tcMar>
              <w:top w:w="100" w:type="dxa"/>
              <w:bottom w:w="100" w:type="dxa"/>
              <w:left w:w="150" w:type="dxa"/>
              <w:right w:w="150" w:type="dxa"/>
            </w:tcMar>
          </w:tcPr>
          <w:p>
            <w:pPr>
              <w:spacing w:after="40"/>
              <w:jc w:val="left"/>
            </w:pPr>
            <w:r/>
            <w:r>
              <w:rPr>
                <w:rFonts w:ascii="Calibri" w:hAnsi="Calibri"/>
                <w:color w:val="333333"/>
                <w:sz w:val="20"/>
              </w:rPr>
              <w:t>SaaS Mita Pro</w:t>
            </w:r>
          </w:p>
        </w:tc>
        <w:tc>
          <w:tcPr>
            <w:tcW w:type="dxa" w:w="1872"/>
            <w:shd w:fill="FFFFFF"/>
            <w:tcMar>
              <w:top w:w="100" w:type="dxa"/>
              <w:bottom w:w="100" w:type="dxa"/>
              <w:left w:w="150" w:type="dxa"/>
              <w:right w:w="150" w:type="dxa"/>
            </w:tcMar>
          </w:tcPr>
          <w:p>
            <w:pPr>
              <w:spacing w:after="40"/>
              <w:jc w:val="left"/>
            </w:pPr>
            <w:r/>
            <w:r>
              <w:rPr>
                <w:rFonts w:ascii="Calibri" w:hAnsi="Calibri"/>
                <w:color w:val="333333"/>
                <w:sz w:val="20"/>
              </w:rPr>
              <w:t>Agentes y Brokers</w:t>
            </w:r>
          </w:p>
        </w:tc>
        <w:tc>
          <w:tcPr>
            <w:tcW w:type="dxa" w:w="3312"/>
            <w:shd w:fill="FFFFFF"/>
            <w:tcMar>
              <w:top w:w="100" w:type="dxa"/>
              <w:bottom w:w="100" w:type="dxa"/>
              <w:left w:w="150" w:type="dxa"/>
              <w:right w:w="150" w:type="dxa"/>
            </w:tcMar>
          </w:tcPr>
          <w:p>
            <w:pPr>
              <w:spacing w:after="40"/>
              <w:jc w:val="left"/>
            </w:pPr>
            <w:r/>
            <w:r>
              <w:rPr>
                <w:rFonts w:ascii="Calibri" w:hAnsi="Calibri"/>
                <w:color w:val="333333"/>
                <w:sz w:val="20"/>
              </w:rPr>
              <w:t>Suscripción mensual de USD 15 a 30 para publicar inventario ilimitado, acceder a CRM de leads e informes de mercado. (Mercado de 3,500-7,000 agentes).</w:t>
            </w:r>
          </w:p>
        </w:tc>
        <w:tc>
          <w:tcPr>
            <w:tcW w:type="dxa" w:w="2016"/>
            <w:shd w:fill="FFFFFF"/>
            <w:tcMar>
              <w:top w:w="100" w:type="dxa"/>
              <w:bottom w:w="100" w:type="dxa"/>
              <w:left w:w="150" w:type="dxa"/>
              <w:right w:w="150" w:type="dxa"/>
            </w:tcMar>
          </w:tcPr>
          <w:p>
            <w:pPr>
              <w:spacing w:after="40"/>
              <w:jc w:val="left"/>
            </w:pPr>
            <w:r/>
            <w:r>
              <w:rPr>
                <w:rFonts w:ascii="Calibri" w:hAnsi="Calibri"/>
                <w:color w:val="333333"/>
                <w:sz w:val="20"/>
              </w:rPr>
              <w:t>USD 420,000 - 2,520,000</w:t>
            </w:r>
          </w:p>
        </w:tc>
      </w:tr>
      <w:tr>
        <w:tc>
          <w:tcPr>
            <w:tcW w:type="dxa" w:w="2160"/>
            <w:shd w:fill="F2F5F8"/>
            <w:tcMar>
              <w:top w:w="100" w:type="dxa"/>
              <w:bottom w:w="100" w:type="dxa"/>
              <w:left w:w="150" w:type="dxa"/>
              <w:right w:w="150" w:type="dxa"/>
            </w:tcMar>
          </w:tcPr>
          <w:p>
            <w:pPr>
              <w:spacing w:after="40"/>
              <w:jc w:val="left"/>
            </w:pPr>
            <w:r/>
            <w:r>
              <w:rPr>
                <w:rFonts w:ascii="Calibri" w:hAnsi="Calibri"/>
                <w:color w:val="333333"/>
                <w:sz w:val="20"/>
              </w:rPr>
              <w:t>Pay-per-Lead Calificado</w:t>
            </w:r>
          </w:p>
        </w:tc>
        <w:tc>
          <w:tcPr>
            <w:tcW w:type="dxa" w:w="1872"/>
            <w:shd w:fill="F2F5F8"/>
            <w:tcMar>
              <w:top w:w="100" w:type="dxa"/>
              <w:bottom w:w="100" w:type="dxa"/>
              <w:left w:w="150" w:type="dxa"/>
              <w:right w:w="150" w:type="dxa"/>
            </w:tcMar>
          </w:tcPr>
          <w:p>
            <w:pPr>
              <w:spacing w:after="40"/>
              <w:jc w:val="left"/>
            </w:pPr>
            <w:r/>
            <w:r>
              <w:rPr>
                <w:rFonts w:ascii="Calibri" w:hAnsi="Calibri"/>
                <w:color w:val="333333"/>
                <w:sz w:val="20"/>
              </w:rPr>
              <w:t>Agentes e Inmobiliarias</w:t>
            </w:r>
          </w:p>
        </w:tc>
        <w:tc>
          <w:tcPr>
            <w:tcW w:type="dxa" w:w="3312"/>
            <w:shd w:fill="F2F5F8"/>
            <w:tcMar>
              <w:top w:w="100" w:type="dxa"/>
              <w:bottom w:w="100" w:type="dxa"/>
              <w:left w:w="150" w:type="dxa"/>
              <w:right w:w="150" w:type="dxa"/>
            </w:tcMar>
          </w:tcPr>
          <w:p>
            <w:pPr>
              <w:spacing w:after="40"/>
              <w:jc w:val="left"/>
            </w:pPr>
            <w:r/>
            <w:r>
              <w:rPr>
                <w:rFonts w:ascii="Calibri" w:hAnsi="Calibri"/>
                <w:color w:val="333333"/>
                <w:sz w:val="20"/>
              </w:rPr>
              <w:t>Cobro de USD 3 a 10 por cada lead que hace clic para contactar por WhatsApp, garantizando que el lead viene pre-filtrado por IA y con match &gt;80%.</w:t>
            </w:r>
          </w:p>
        </w:tc>
        <w:tc>
          <w:tcPr>
            <w:tcW w:type="dxa" w:w="2016"/>
            <w:shd w:fill="F2F5F8"/>
            <w:tcMar>
              <w:top w:w="100" w:type="dxa"/>
              <w:bottom w:w="100" w:type="dxa"/>
              <w:left w:w="150" w:type="dxa"/>
              <w:right w:w="150" w:type="dxa"/>
            </w:tcMar>
          </w:tcPr>
          <w:p>
            <w:pPr>
              <w:spacing w:after="40"/>
              <w:jc w:val="left"/>
            </w:pPr>
            <w:r/>
            <w:r>
              <w:rPr>
                <w:rFonts w:ascii="Calibri" w:hAnsi="Calibri"/>
                <w:color w:val="333333"/>
                <w:sz w:val="20"/>
              </w:rPr>
              <w:t>USD 151,000 - 2,070,000</w:t>
            </w:r>
          </w:p>
        </w:tc>
      </w:tr>
      <w:tr>
        <w:tc>
          <w:tcPr>
            <w:tcW w:type="dxa" w:w="2160"/>
            <w:shd w:fill="FFFFFF"/>
            <w:tcMar>
              <w:top w:w="100" w:type="dxa"/>
              <w:bottom w:w="100" w:type="dxa"/>
              <w:left w:w="150" w:type="dxa"/>
              <w:right w:w="150" w:type="dxa"/>
            </w:tcMar>
          </w:tcPr>
          <w:p>
            <w:pPr>
              <w:spacing w:after="40"/>
              <w:jc w:val="left"/>
            </w:pPr>
            <w:r/>
            <w:r>
              <w:rPr>
                <w:rFonts w:ascii="Calibri" w:hAnsi="Calibri"/>
                <w:color w:val="333333"/>
                <w:sz w:val="20"/>
              </w:rPr>
              <w:t>Herramienta de Enriquecimiento</w:t>
            </w:r>
          </w:p>
        </w:tc>
        <w:tc>
          <w:tcPr>
            <w:tcW w:type="dxa" w:w="1872"/>
            <w:shd w:fill="FFFFFF"/>
            <w:tcMar>
              <w:top w:w="100" w:type="dxa"/>
              <w:bottom w:w="100" w:type="dxa"/>
              <w:left w:w="150" w:type="dxa"/>
              <w:right w:w="150" w:type="dxa"/>
            </w:tcMar>
          </w:tcPr>
          <w:p>
            <w:pPr>
              <w:spacing w:after="40"/>
              <w:jc w:val="left"/>
            </w:pPr>
            <w:r/>
            <w:r>
              <w:rPr>
                <w:rFonts w:ascii="Calibri" w:hAnsi="Calibri"/>
                <w:color w:val="333333"/>
                <w:sz w:val="20"/>
              </w:rPr>
              <w:t>Propietarios y Agentes</w:t>
            </w:r>
          </w:p>
        </w:tc>
        <w:tc>
          <w:tcPr>
            <w:tcW w:type="dxa" w:w="3312"/>
            <w:shd w:fill="FFFFFF"/>
            <w:tcMar>
              <w:top w:w="100" w:type="dxa"/>
              <w:bottom w:w="100" w:type="dxa"/>
              <w:left w:w="150" w:type="dxa"/>
              <w:right w:w="150" w:type="dxa"/>
            </w:tcMar>
          </w:tcPr>
          <w:p>
            <w:pPr>
              <w:spacing w:after="40"/>
              <w:jc w:val="left"/>
            </w:pPr>
            <w:r/>
            <w:r>
              <w:rPr>
                <w:rFonts w:ascii="Calibri" w:hAnsi="Calibri"/>
                <w:color w:val="333333"/>
                <w:sz w:val="20"/>
              </w:rPr>
              <w:t>Micro-transacción de USD 1 a 5 por publicación para normalizar textos informales y autocompletar atributos faltantes con IA.</w:t>
            </w:r>
          </w:p>
        </w:tc>
        <w:tc>
          <w:tcPr>
            <w:tcW w:type="dxa" w:w="2016"/>
            <w:shd w:fill="FFFFFF"/>
            <w:tcMar>
              <w:top w:w="100" w:type="dxa"/>
              <w:bottom w:w="100" w:type="dxa"/>
              <w:left w:w="150" w:type="dxa"/>
              <w:right w:w="150" w:type="dxa"/>
            </w:tcMar>
          </w:tcPr>
          <w:p>
            <w:pPr>
              <w:spacing w:after="40"/>
              <w:jc w:val="left"/>
            </w:pPr>
            <w:r/>
            <w:r>
              <w:rPr>
                <w:rFonts w:ascii="Calibri" w:hAnsi="Calibri"/>
                <w:color w:val="333333"/>
                <w:sz w:val="20"/>
              </w:rPr>
              <w:t>USD 10,000 - 150,000</w:t>
            </w:r>
          </w:p>
        </w:tc>
      </w:tr>
    </w:tbl>
    <w:p>
      <w:pPr>
        <w:spacing w:after="120"/>
      </w:pPr>
    </w:p>
    <w:p>
      <w:pPr>
        <w:spacing w:after="120" w:line="276" w:lineRule="auto"/>
        <w:jc w:val="left"/>
      </w:pPr>
      <w:r>
        <w:rPr>
          <w:rFonts w:ascii="Calibri" w:hAnsi="Calibri"/>
          <w:b w:val="0"/>
          <w:i w:val="0"/>
          <w:color w:val="333333"/>
          <w:sz w:val="22"/>
        </w:rPr>
        <w:t>El SAM (Segmento de Mercado Direccionable) digital de la capa inmobiliaria de Santa Cruz oscila entre USD 0.6M y USD 4.7M anuales, validando un modelo de negocio de software altamente escalable y sin el riesgo financiero de adquirir activos físicos.</w:t>
      </w:r>
    </w:p>
    <w:p>
      <w:pPr>
        <w:pStyle w:val="Heading1"/>
        <w:spacing w:before="240" w:after="120"/>
      </w:pPr>
      <w:r>
        <w:rPr>
          <w:rFonts w:ascii="Calibri" w:hAnsi="Calibri"/>
          <w:b/>
          <w:color w:val="184C78"/>
          <w:sz w:val="28"/>
        </w:rPr>
        <w:t>8. Estrategia Go-To-Market</w:t>
      </w:r>
    </w:p>
    <w:p>
      <w:pPr>
        <w:spacing w:after="120" w:line="276" w:lineRule="auto"/>
        <w:jc w:val="left"/>
      </w:pPr>
      <w:r>
        <w:rPr>
          <w:rFonts w:ascii="Calibri" w:hAnsi="Calibri"/>
          <w:b w:val="0"/>
          <w:i w:val="0"/>
          <w:color w:val="333333"/>
          <w:sz w:val="22"/>
        </w:rPr>
        <w:t>La estrategia de salida al mercado se divide en fases de penetración quirúrgica, apalancando el hecho de que el 70% de las transacciones inmobiliarias de Santa Cruz se concentran en la Zona Norte y Equipetrol:</w:t>
      </w:r>
    </w:p>
    <w:p>
      <w:pPr>
        <w:pStyle w:val="ListBullet"/>
        <w:spacing w:after="80" w:line="276" w:lineRule="auto"/>
      </w:pPr>
      <w:r>
        <w:rPr>
          <w:rFonts w:ascii="Calibri" w:hAnsi="Calibri"/>
          <w:color w:val="333333"/>
          <w:sz w:val="22"/>
        </w:rPr>
        <w:t>Fase 1: Dataset Curado Local: Carga inicial de un dataset demo de 50 a 150 espacios comerciales reales y verificados (oficinas en Equipetrol, galpones en parque industrial y locales comerciales en avenidas transitadas).</w:t>
      </w:r>
    </w:p>
    <w:p>
      <w:pPr>
        <w:pStyle w:val="ListBullet"/>
        <w:spacing w:after="80" w:line="276" w:lineRule="auto"/>
      </w:pPr>
      <w:r>
        <w:rPr>
          <w:rFonts w:ascii="Calibri" w:hAnsi="Calibri"/>
          <w:color w:val="333333"/>
          <w:sz w:val="22"/>
        </w:rPr>
        <w:t>Fase 2: Alianzas y Pilotos B2B: Alianzas estratégicas con 3 a 5 agentes inmobiliarios independientes de alta reputación (ej. Century 21 brokers destacados) para probar la API y el sistema de WhatsApp Leads de Mita.</w:t>
      </w:r>
    </w:p>
    <w:p>
      <w:pPr>
        <w:pStyle w:val="ListBullet"/>
        <w:spacing w:after="80" w:line="276" w:lineRule="auto"/>
      </w:pPr>
      <w:r>
        <w:rPr>
          <w:rFonts w:ascii="Calibri" w:hAnsi="Calibri"/>
          <w:color w:val="333333"/>
          <w:sz w:val="22"/>
        </w:rPr>
        <w:t>Fase 3: Distribución Viral y Orgánica: Campañas en grupos locales de Facebook, WhatsApp de emprendedores y cámaras de comercio de Santa Cruz (CAINCO), ofreciendo la búsqueda directa de locales comerciales gratis.</w:t>
      </w:r>
    </w:p>
    <w:p>
      <w:pPr>
        <w:pStyle w:val="ListBullet"/>
        <w:spacing w:after="80" w:line="276" w:lineRule="auto"/>
      </w:pPr>
      <w:r>
        <w:rPr>
          <w:rFonts w:ascii="Calibri" w:hAnsi="Calibri"/>
          <w:color w:val="333333"/>
          <w:sz w:val="22"/>
        </w:rPr>
        <w:t>Fase 4: Conversión SaaS Pro: Introducción de herramientas de analítica y respuestas sugeridas por IA en el panel del agente una vez validada la captación de leads.</w:t>
      </w:r>
    </w:p>
    <w:p>
      <w:pPr>
        <w:spacing w:after="120" w:line="276" w:lineRule="auto"/>
        <w:jc w:val="left"/>
      </w:pPr>
      <w:r>
        <w:rPr>
          <w:rFonts w:ascii="Calibri" w:hAnsi="Calibri"/>
          <w:b w:val="0"/>
          <w:i w:val="0"/>
          <w:color w:val="333333"/>
          <w:sz w:val="22"/>
        </w:rPr>
        <w:t>A continuación, se detalla el flujo de generación de leads y contacto vía WhatsApp, mostrando la trazabilidad que asegura que cada prospecto recibido por el agente contiene información útil de la intención de compra del usuario:</w:t>
      </w:r>
    </w:p>
    <w:p>
      <w:pPr>
        <w:spacing w:before="160" w:after="80"/>
        <w:jc w:val="center"/>
      </w:pPr>
      <w:r>
        <w:drawing>
          <wp:inline xmlns:a="http://schemas.openxmlformats.org/drawingml/2006/main" xmlns:pic="http://schemas.openxmlformats.org/drawingml/2006/picture">
            <wp:extent cx="5029200" cy="3459133"/>
            <wp:docPr id="6" name="Picture 6"/>
            <wp:cNvGraphicFramePr>
              <a:graphicFrameLocks noChangeAspect="1"/>
            </wp:cNvGraphicFramePr>
            <a:graphic>
              <a:graphicData uri="http://schemas.openxmlformats.org/drawingml/2006/picture">
                <pic:pic>
                  <pic:nvPicPr>
                    <pic:cNvPr id="0" name="contact-whatsapp.png"/>
                    <pic:cNvPicPr/>
                  </pic:nvPicPr>
                  <pic:blipFill>
                    <a:blip r:embed="rId14"/>
                    <a:stretch>
                      <a:fillRect/>
                    </a:stretch>
                  </pic:blipFill>
                  <pic:spPr>
                    <a:xfrm>
                      <a:off x="0" y="0"/>
                      <a:ext cx="5029200" cy="3459133"/>
                    </a:xfrm>
                    <a:prstGeom prst="rect"/>
                  </pic:spPr>
                </pic:pic>
              </a:graphicData>
            </a:graphic>
          </wp:inline>
        </w:drawing>
      </w:r>
    </w:p>
    <w:p>
      <w:pPr>
        <w:spacing w:after="200"/>
        <w:jc w:val="center"/>
      </w:pPr>
      <w:r>
        <w:rPr>
          <w:rFonts w:ascii="Calibri" w:hAnsi="Calibri"/>
          <w:i/>
          <w:color w:val="646464"/>
          <w:sz w:val="19"/>
        </w:rPr>
        <w:t>Diagrama 6: Flujo de Intermediación, Notificación y Lead Calificado vía WhatsApp (PlantUML compilado)</w:t>
      </w:r>
    </w:p>
    <w:p>
      <w:pPr>
        <w:pStyle w:val="Heading1"/>
        <w:spacing w:before="240" w:after="120"/>
      </w:pPr>
      <w:r>
        <w:rPr>
          <w:rFonts w:ascii="Calibri" w:hAnsi="Calibri"/>
          <w:b/>
          <w:color w:val="184C78"/>
          <w:sz w:val="28"/>
        </w:rPr>
        <w:t>9. Análisis FODA</w:t>
      </w:r>
    </w:p>
    <w:p>
      <w:pPr>
        <w:spacing w:after="120" w:line="276" w:lineRule="auto"/>
        <w:jc w:val="left"/>
      </w:pPr>
      <w:r>
        <w:rPr>
          <w:rFonts w:ascii="Calibri" w:hAnsi="Calibri"/>
          <w:b w:val="0"/>
          <w:i w:val="0"/>
          <w:color w:val="333333"/>
          <w:sz w:val="22"/>
        </w:rPr>
        <w:t>A continuación se presenta la matriz de Fortalezas, Oportunidades, Debilidades y Amenazas para evaluar la viabilidad estratégica del proyecto Mita:</w:t>
      </w:r>
    </w:p>
    <w:tbl>
      <w:tblPr>
        <w:tblW w:type="auto" w:w="0"/>
        <w:tblLayout w:type="fixed"/>
        <w:tblLook w:firstColumn="1" w:firstRow="1" w:lastColumn="0" w:lastRow="0" w:noHBand="0" w:noVBand="1" w:val="04A0"/>
      </w:tblPr>
      <w:tblGrid>
        <w:gridCol w:w="4680"/>
        <w:gridCol w:w="4680"/>
      </w:tblGrid>
      <w:tr>
        <w:tc>
          <w:tcPr>
            <w:tcW w:type="dxa" w:w="4608"/>
            <w:shd w:fill="184C78"/>
            <w:tcMar>
              <w:top w:w="120" w:type="dxa"/>
              <w:bottom w:w="120" w:type="dxa"/>
              <w:left w:w="150" w:type="dxa"/>
              <w:right w:w="150" w:type="dxa"/>
            </w:tcMar>
          </w:tcPr>
          <w:p>
            <w:pPr>
              <w:spacing w:after="40"/>
              <w:jc w:val="left"/>
            </w:pPr>
            <w:r/>
            <w:r>
              <w:rPr>
                <w:rFonts w:ascii="Calibri" w:hAnsi="Calibri"/>
                <w:b/>
                <w:color w:val="FFFFFF"/>
                <w:sz w:val="21"/>
              </w:rPr>
              <w:t>Fortalezas</w:t>
            </w:r>
          </w:p>
        </w:tc>
        <w:tc>
          <w:tcPr>
            <w:tcW w:type="dxa" w:w="4752"/>
            <w:shd w:fill="184C78"/>
            <w:tcMar>
              <w:top w:w="120" w:type="dxa"/>
              <w:bottom w:w="120" w:type="dxa"/>
              <w:left w:w="150" w:type="dxa"/>
              <w:right w:w="150" w:type="dxa"/>
            </w:tcMar>
          </w:tcPr>
          <w:p>
            <w:pPr>
              <w:spacing w:after="40"/>
              <w:jc w:val="left"/>
            </w:pPr>
            <w:r/>
            <w:r>
              <w:rPr>
                <w:rFonts w:ascii="Calibri" w:hAnsi="Calibri"/>
                <w:b/>
                <w:color w:val="FFFFFF"/>
                <w:sz w:val="21"/>
              </w:rPr>
              <w:t>Oportunidades</w:t>
            </w:r>
          </w:p>
        </w:tc>
      </w:tr>
      <w:tr>
        <w:tc>
          <w:tcPr>
            <w:tcW w:type="dxa" w:w="4608"/>
            <w:shd w:fill="FFFFFF"/>
            <w:tcMar>
              <w:top w:w="100" w:type="dxa"/>
              <w:bottom w:w="100" w:type="dxa"/>
              <w:left w:w="150" w:type="dxa"/>
              <w:right w:w="150" w:type="dxa"/>
            </w:tcMar>
          </w:tcPr>
          <w:p>
            <w:pPr>
              <w:spacing w:after="40"/>
              <w:jc w:val="left"/>
            </w:pPr>
            <w:r/>
            <w:r>
              <w:rPr>
                <w:rFonts w:ascii="Calibri" w:hAnsi="Calibri"/>
                <w:color w:val="333333"/>
                <w:sz w:val="20"/>
              </w:rPr>
              <w:t>• Enfoque hiperlocal con vocabulario y zonas de Santa Cruz.</w:t>
              <w:br/>
              <w:t>• Algoritmo de ranking explicable con tradeoffs.</w:t>
              <w:br/>
              <w:t>• Canal WhatsApp integrado nativamente como lead.</w:t>
              <w:br/>
              <w:t>• Capacidad de estructurar datos informales rápidamente.</w:t>
            </w:r>
          </w:p>
        </w:tc>
        <w:tc>
          <w:tcPr>
            <w:tcW w:type="dxa" w:w="4752"/>
            <w:shd w:fill="FFFFFF"/>
            <w:tcMar>
              <w:top w:w="100" w:type="dxa"/>
              <w:bottom w:w="100" w:type="dxa"/>
              <w:left w:w="150" w:type="dxa"/>
              <w:right w:w="150" w:type="dxa"/>
            </w:tcMar>
          </w:tcPr>
          <w:p>
            <w:pPr>
              <w:spacing w:after="40"/>
              <w:jc w:val="left"/>
            </w:pPr>
            <w:r/>
            <w:r>
              <w:rPr>
                <w:rFonts w:ascii="Calibri" w:hAnsi="Calibri"/>
                <w:color w:val="333333"/>
                <w:sz w:val="20"/>
              </w:rPr>
              <w:t>• Mercado comercial y logístico local en crecimiento (+7.42% real).</w:t>
              <w:br/>
              <w:t>• Alta fragmentación en redes y baja calidad de portales tradicionales.</w:t>
              <w:br/>
              <w:t>• Rápida adopción tecnológica en pymes cruceñas.</w:t>
              <w:br/>
              <w:t>• Necesidad urgente de agentes de optimizar su tiempo.</w:t>
            </w:r>
          </w:p>
        </w:tc>
      </w:tr>
    </w:tbl>
    <w:p>
      <w:pPr>
        <w:spacing w:after="120"/>
      </w:pPr>
    </w:p>
    <w:tbl>
      <w:tblPr>
        <w:tblW w:type="auto" w:w="0"/>
        <w:tblLayout w:type="fixed"/>
        <w:tblLook w:firstColumn="1" w:firstRow="1" w:lastColumn="0" w:lastRow="0" w:noHBand="0" w:noVBand="1" w:val="04A0"/>
      </w:tblPr>
      <w:tblGrid>
        <w:gridCol w:w="4680"/>
        <w:gridCol w:w="4680"/>
      </w:tblGrid>
      <w:tr>
        <w:tc>
          <w:tcPr>
            <w:tcW w:type="dxa" w:w="4608"/>
            <w:shd w:fill="184C78"/>
            <w:tcMar>
              <w:top w:w="120" w:type="dxa"/>
              <w:bottom w:w="120" w:type="dxa"/>
              <w:left w:w="150" w:type="dxa"/>
              <w:right w:w="150" w:type="dxa"/>
            </w:tcMar>
          </w:tcPr>
          <w:p>
            <w:pPr>
              <w:spacing w:after="40"/>
              <w:jc w:val="left"/>
            </w:pPr>
            <w:r/>
            <w:r>
              <w:rPr>
                <w:rFonts w:ascii="Calibri" w:hAnsi="Calibri"/>
                <w:b/>
                <w:color w:val="FFFFFF"/>
                <w:sz w:val="21"/>
              </w:rPr>
              <w:t>Debilidades</w:t>
            </w:r>
          </w:p>
        </w:tc>
        <w:tc>
          <w:tcPr>
            <w:tcW w:type="dxa" w:w="4752"/>
            <w:shd w:fill="184C78"/>
            <w:tcMar>
              <w:top w:w="120" w:type="dxa"/>
              <w:bottom w:w="120" w:type="dxa"/>
              <w:left w:w="150" w:type="dxa"/>
              <w:right w:w="150" w:type="dxa"/>
            </w:tcMar>
          </w:tcPr>
          <w:p>
            <w:pPr>
              <w:spacing w:after="40"/>
              <w:jc w:val="left"/>
            </w:pPr>
            <w:r/>
            <w:r>
              <w:rPr>
                <w:rFonts w:ascii="Calibri" w:hAnsi="Calibri"/>
                <w:b/>
                <w:color w:val="FFFFFF"/>
                <w:sz w:val="21"/>
              </w:rPr>
              <w:t>Amenazas</w:t>
            </w:r>
          </w:p>
        </w:tc>
      </w:tr>
      <w:tr>
        <w:tc>
          <w:tcPr>
            <w:tcW w:type="dxa" w:w="4608"/>
            <w:shd w:fill="FFFFFF"/>
            <w:tcMar>
              <w:top w:w="100" w:type="dxa"/>
              <w:bottom w:w="100" w:type="dxa"/>
              <w:left w:w="150" w:type="dxa"/>
              <w:right w:w="150" w:type="dxa"/>
            </w:tcMar>
          </w:tcPr>
          <w:p>
            <w:pPr>
              <w:spacing w:after="40"/>
              <w:jc w:val="left"/>
            </w:pPr>
            <w:r/>
            <w:r>
              <w:rPr>
                <w:rFonts w:ascii="Calibri" w:hAnsi="Calibri"/>
                <w:color w:val="333333"/>
                <w:sz w:val="20"/>
              </w:rPr>
              <w:t>• Dataset y cobertura inicial limitados en el MVP.</w:t>
              <w:br/>
              <w:t>• Dependencia inicial de la calidad del texto de origen.</w:t>
              <w:br/>
              <w:t>• Falta de integración bancaria o pasarela de pago inicial.</w:t>
              <w:br/>
              <w:t>• Equipo pequeño con recursos de hardware limitados.</w:t>
            </w:r>
          </w:p>
        </w:tc>
        <w:tc>
          <w:tcPr>
            <w:tcW w:type="dxa" w:w="4752"/>
            <w:shd w:fill="FFFFFF"/>
            <w:tcMar>
              <w:top w:w="100" w:type="dxa"/>
              <w:bottom w:w="100" w:type="dxa"/>
              <w:left w:w="150" w:type="dxa"/>
              <w:right w:w="150" w:type="dxa"/>
            </w:tcMar>
          </w:tcPr>
          <w:p>
            <w:pPr>
              <w:spacing w:after="40"/>
              <w:jc w:val="left"/>
            </w:pPr>
            <w:r/>
            <w:r>
              <w:rPr>
                <w:rFonts w:ascii="Calibri" w:hAnsi="Calibri"/>
                <w:color w:val="333333"/>
                <w:sz w:val="20"/>
              </w:rPr>
              <w:t>• Portales inmobiliarios consolidados con mayor presupuesto.</w:t>
              <w:br/>
              <w:t>• Resistencia al cambio tecnológico por parte de agentes tradicionales.</w:t>
              <w:br/>
              <w:t>• Problemas de scraping de datos por cambios en APIs de redes.</w:t>
              <w:br/>
              <w:t>• Exposición a estafas de terceros que requieran costosa curación.</w:t>
            </w:r>
          </w:p>
        </w:tc>
      </w:tr>
    </w:tbl>
    <w:p>
      <w:pPr>
        <w:spacing w:after="120"/>
      </w:pPr>
    </w:p>
    <w:p>
      <w:pPr>
        <w:pStyle w:val="Heading1"/>
        <w:spacing w:before="240" w:after="120"/>
      </w:pPr>
      <w:r>
        <w:rPr>
          <w:rFonts w:ascii="Calibri" w:hAnsi="Calibri"/>
          <w:b/>
          <w:color w:val="184C78"/>
          <w:sz w:val="28"/>
        </w:rPr>
        <w:t>10. Análisis PESTEL detallado</w:t>
      </w:r>
    </w:p>
    <w:p>
      <w:pPr>
        <w:spacing w:after="120" w:line="276" w:lineRule="auto"/>
        <w:jc w:val="left"/>
      </w:pPr>
      <w:r>
        <w:rPr>
          <w:rFonts w:ascii="Calibri" w:hAnsi="Calibri"/>
          <w:b w:val="0"/>
          <w:i w:val="0"/>
          <w:color w:val="333333"/>
          <w:sz w:val="22"/>
        </w:rPr>
        <w:t>Para garantizar que el modelo de Mita es robusto frente a las fuerzas externas del entorno boliviano y cruceño, se ha desarrollado un análisis PESTEL exhaustivo:</w:t>
      </w:r>
    </w:p>
    <w:p>
      <w:pPr>
        <w:spacing w:after="40" w:line="276" w:lineRule="auto"/>
        <w:jc w:val="left"/>
      </w:pPr>
      <w:r>
        <w:rPr>
          <w:rFonts w:ascii="Calibri" w:hAnsi="Calibri"/>
          <w:b/>
          <w:i w:val="0"/>
          <w:color w:val="333333"/>
          <w:sz w:val="22"/>
        </w:rPr>
        <w:t>Político (P)</w:t>
      </w:r>
    </w:p>
    <w:p>
      <w:pPr>
        <w:spacing w:after="120" w:line="276" w:lineRule="auto"/>
        <w:jc w:val="left"/>
      </w:pPr>
      <w:r>
        <w:rPr>
          <w:rFonts w:ascii="Calibri" w:hAnsi="Calibri"/>
          <w:b w:val="0"/>
          <w:i w:val="0"/>
          <w:color w:val="333333"/>
          <w:sz w:val="22"/>
        </w:rPr>
        <w:t>Bolivia atraviesa un periodo de digitalización y simplificación de trámites liderado por instituciones estatales y departamentales (como el SEPREC en el registro empresarial). Mita se alinea directamente con las directrices políticas de digitalización económica, facilitando la creación de nuevas empresas al agilizar el acceso a la infraestructura física. Sin embargo, persisten regulaciones municipales complejas sobre patentes y licencias de funcionamiento de locales comerciales (especialmente de alimentos o expendio de bebidas). Mita reduce esta fricción de información alertando preventivamente al usuario si el local cumple con la zonificación comercial del municipio de Santa Cruz.</w:t>
      </w:r>
    </w:p>
    <w:p>
      <w:pPr>
        <w:spacing w:after="40" w:line="276" w:lineRule="auto"/>
        <w:jc w:val="left"/>
      </w:pPr>
      <w:r>
        <w:rPr>
          <w:rFonts w:ascii="Calibri" w:hAnsi="Calibri"/>
          <w:b/>
          <w:i w:val="0"/>
          <w:color w:val="333333"/>
          <w:sz w:val="22"/>
        </w:rPr>
        <w:t>Económico (E)</w:t>
      </w:r>
    </w:p>
    <w:p>
      <w:pPr>
        <w:spacing w:after="120" w:line="276" w:lineRule="auto"/>
        <w:jc w:val="left"/>
      </w:pPr>
      <w:r>
        <w:rPr>
          <w:rFonts w:ascii="Calibri" w:hAnsi="Calibri"/>
          <w:b w:val="0"/>
          <w:i w:val="0"/>
          <w:color w:val="333333"/>
          <w:sz w:val="22"/>
        </w:rPr>
        <w:t>Santa Cruz de la Sierra es el motor económico de Bolivia. A pesar de un escenario macroeconómico complejo caracterizado por la escasez de divisas y la contracción del PIB departamental (-3.05% en 2024), el sector inmobiliario y de alquileres mostró una extraordinaria resiliencia, creciendo un +7.42% real. Esto se explica por factores contracíclicos: en periodos de crisis, las empresas buscan renegociar contratos, reducir metros cuadrados para bajar costos fijos o trasladar inventarios a galpones compartidos más económicos. Esta alta rotación y reestructuración de espacios incrementa drásticamente el volumen de transacciones de búsqueda de información, posicionando a Mita en un mercado dinámico y demandante.</w:t>
      </w:r>
    </w:p>
    <w:p>
      <w:pPr>
        <w:spacing w:after="40" w:line="276" w:lineRule="auto"/>
        <w:jc w:val="left"/>
      </w:pPr>
      <w:r>
        <w:rPr>
          <w:rFonts w:ascii="Calibri" w:hAnsi="Calibri"/>
          <w:b/>
          <w:i w:val="0"/>
          <w:color w:val="333333"/>
          <w:sz w:val="22"/>
        </w:rPr>
        <w:t>Social (S)</w:t>
      </w:r>
    </w:p>
    <w:p>
      <w:pPr>
        <w:spacing w:after="120" w:line="276" w:lineRule="auto"/>
        <w:jc w:val="left"/>
      </w:pPr>
      <w:r>
        <w:rPr>
          <w:rFonts w:ascii="Calibri" w:hAnsi="Calibri"/>
          <w:b w:val="0"/>
          <w:i w:val="0"/>
          <w:color w:val="333333"/>
          <w:sz w:val="22"/>
        </w:rPr>
        <w:t>El 85% de la economía de Bolivia es informal. Los usuarios buscan alquileres y locales de forma social y desestructurada en Facebook Marketplace o grupos cerrados de WhatsApp, lo que genera asimetría de información y susceptibilidad a fraudes. Mita respeta este comportamiento natural: no obliga a usar formularios complejos; permite la búsqueda conversacional e integra WhatsApp como canal final de lead calificado, reduciendo el riesgo informativo mediante el cálculo del Trust Friction Index de las publicaciones.</w:t>
      </w:r>
    </w:p>
    <w:p>
      <w:pPr>
        <w:spacing w:after="40" w:line="276" w:lineRule="auto"/>
        <w:jc w:val="left"/>
      </w:pPr>
      <w:r>
        <w:rPr>
          <w:rFonts w:ascii="Calibri" w:hAnsi="Calibri"/>
          <w:b/>
          <w:i w:val="0"/>
          <w:color w:val="333333"/>
          <w:sz w:val="22"/>
        </w:rPr>
        <w:t>Tecnológico (T)</w:t>
      </w:r>
    </w:p>
    <w:p>
      <w:pPr>
        <w:spacing w:after="120" w:line="276" w:lineRule="auto"/>
        <w:jc w:val="left"/>
      </w:pPr>
      <w:r>
        <w:rPr>
          <w:rFonts w:ascii="Calibri" w:hAnsi="Calibri"/>
          <w:b w:val="0"/>
          <w:i w:val="0"/>
          <w:color w:val="333333"/>
          <w:sz w:val="22"/>
        </w:rPr>
        <w:t>La penetración de smartphones en Bolivia es del 98% de la base de usuarios y WhatsApp es el principal canal transaccional de facto. A nivel de infraestructura de IA, la API de Gemini de Google permite procesar lenguaje natural local (caló cruceño, modismos bolivianos) de forma sumamente económica y rápida, posibilitando la estructuración de textos informales a gran escala con un costo computacional mínimo.</w:t>
      </w:r>
    </w:p>
    <w:p>
      <w:pPr>
        <w:spacing w:after="40" w:line="276" w:lineRule="auto"/>
        <w:jc w:val="left"/>
      </w:pPr>
      <w:r>
        <w:rPr>
          <w:rFonts w:ascii="Calibri" w:hAnsi="Calibri"/>
          <w:b/>
          <w:i w:val="0"/>
          <w:color w:val="333333"/>
          <w:sz w:val="22"/>
        </w:rPr>
        <w:t>Ambiental (A)</w:t>
      </w:r>
    </w:p>
    <w:p>
      <w:pPr>
        <w:spacing w:after="120" w:line="276" w:lineRule="auto"/>
        <w:jc w:val="left"/>
      </w:pPr>
      <w:r>
        <w:rPr>
          <w:rFonts w:ascii="Calibri" w:hAnsi="Calibri"/>
          <w:b w:val="0"/>
          <w:i w:val="0"/>
          <w:color w:val="333333"/>
          <w:sz w:val="22"/>
        </w:rPr>
        <w:t>Santa Cruz es una ciudad en rápida expansión horizontal (metropolitanización), lo que genera altos índices de congestión vehicular en anillos de circulación y en la Zona Norte. La búsqueda tradicional exige visitas físicas repetidas, generando un impacto ambiental innecesario por traslados. Mita pre-clasifica y justifica los pros/contras comerciales antes de realizar visitas físicas, promoviendo una movilidad inteligente y reduciendo la huella de carbono de los usuarios. Asimismo, optimiza el uso de la infraestructura física ya construida desocupada.</w:t>
      </w:r>
    </w:p>
    <w:p>
      <w:pPr>
        <w:spacing w:after="40" w:line="276" w:lineRule="auto"/>
        <w:jc w:val="left"/>
      </w:pPr>
      <w:r>
        <w:rPr>
          <w:rFonts w:ascii="Calibri" w:hAnsi="Calibri"/>
          <w:b/>
          <w:i w:val="0"/>
          <w:color w:val="333333"/>
          <w:sz w:val="22"/>
        </w:rPr>
        <w:t>Legal (L)</w:t>
      </w:r>
    </w:p>
    <w:p>
      <w:pPr>
        <w:spacing w:after="120" w:line="276" w:lineRule="auto"/>
        <w:jc w:val="left"/>
      </w:pPr>
      <w:r>
        <w:rPr>
          <w:rFonts w:ascii="Calibri" w:hAnsi="Calibri"/>
          <w:b w:val="0"/>
          <w:i w:val="0"/>
          <w:color w:val="333333"/>
          <w:sz w:val="22"/>
        </w:rPr>
        <w:t>El mercado inmobiliario en Bolivia carece de un registro de datos unificado y es propenso a fraudes informativos (ej. anticréticos falsificados en la capital o loteamientos irregulares en zonas de expansión). Las estafas reportadas en 2024 causaron un impacto estimado entre USD 5.6M y 15.8M. Mita actúa como mitigador al evaluar la integridad de la información en las publicaciones mediante el Trust Friction Index, detectando anomalías o inconsistencias de datos, y aclarando en sus términos legales que proporciona un filtro de información de confianza y recomendación de match, sin reemplazar el análisis legal formal de un abogado para la firma de contratos de arrendamiento.</w:t>
      </w:r>
    </w:p>
    <w:p>
      <w:pPr>
        <w:pStyle w:val="Heading1"/>
        <w:spacing w:before="240" w:after="120"/>
      </w:pPr>
      <w:r>
        <w:rPr>
          <w:rFonts w:ascii="Calibri" w:hAnsi="Calibri"/>
          <w:b/>
          <w:color w:val="184C78"/>
          <w:sz w:val="28"/>
        </w:rPr>
        <w:t>11. Lienzo Lean Canvas consolidado</w:t>
      </w:r>
    </w:p>
    <w:p>
      <w:pPr>
        <w:spacing w:after="120" w:line="276" w:lineRule="auto"/>
        <w:jc w:val="left"/>
      </w:pPr>
      <w:r>
        <w:rPr>
          <w:rFonts w:ascii="Calibri" w:hAnsi="Calibri"/>
          <w:b w:val="0"/>
          <w:i w:val="0"/>
          <w:color w:val="333333"/>
          <w:sz w:val="22"/>
        </w:rPr>
        <w:t>El modelo de negocio de Mita, validado y estructurado según el Lienzo Lean Canvas detallado en el archivo LienzoLeanCanvas_BWAI_Mita.docx, se consolida a través de los siguientes 9 bloques fundamentales:</w:t>
      </w:r>
    </w:p>
    <w:p>
      <w:pPr>
        <w:pStyle w:val="ListBullet"/>
        <w:spacing w:after="80" w:line="276" w:lineRule="auto"/>
      </w:pPr>
      <w:r>
        <w:rPr>
          <w:rFonts w:ascii="Calibri" w:hAnsi="Calibri"/>
          <w:color w:val="333333"/>
          <w:sz w:val="22"/>
        </w:rPr>
        <w:t>1. Problema: Ofertas dispersas en redes sociales (Facebook, WhatsApp); publicaciones inmobiliarias comerciales incompletas (sin m2, sin servicios básicos, sin zonificación comercial clara); pymes que pierden semanas comparando tradeoffs operativos; exposición potencial a estafas de información inmobiliaria.</w:t>
      </w:r>
    </w:p>
    <w:p>
      <w:pPr>
        <w:pStyle w:val="ListBullet"/>
        <w:spacing w:after="80" w:line="276" w:lineRule="auto"/>
      </w:pPr>
      <w:r>
        <w:rPr>
          <w:rFonts w:ascii="Calibri" w:hAnsi="Calibri"/>
          <w:color w:val="333333"/>
          <w:sz w:val="22"/>
        </w:rPr>
        <w:t>2. Segmento de Clientes: Emprendedores y pymes que abren oficinas, locales o talleres; agentes inmobiliarios independientes y brokers que necesitan leads comerciales pre-filtrados; inmobiliarias medianas; propietarios recurrentes de locales/galpones. Early Adopters: Agentes activos en redes sociales que publican diariamente.</w:t>
      </w:r>
    </w:p>
    <w:p>
      <w:pPr>
        <w:pStyle w:val="ListBullet"/>
        <w:spacing w:after="80" w:line="276" w:lineRule="auto"/>
      </w:pPr>
      <w:r>
        <w:rPr>
          <w:rFonts w:ascii="Calibri" w:hAnsi="Calibri"/>
          <w:color w:val="333333"/>
          <w:sz w:val="22"/>
        </w:rPr>
        <w:t>3. Propuesta de Valor Única: 'Encuentra tu espacio con IA'. De publicaciones desordenadas a decisiones de negocio claras, proveyendo pros, contras y viabilidad operativa mediante lenguaje natural conversacional.</w:t>
      </w:r>
    </w:p>
    <w:p>
      <w:pPr>
        <w:pStyle w:val="ListBullet"/>
        <w:spacing w:after="80" w:line="276" w:lineRule="auto"/>
      </w:pPr>
      <w:r>
        <w:rPr>
          <w:rFonts w:ascii="Calibri" w:hAnsi="Calibri"/>
          <w:color w:val="333333"/>
          <w:sz w:val="22"/>
        </w:rPr>
        <w:t>4. Solución: Normalización IA de publicaciones informales; buscador semántico que comprende lenguaje conversacional; algoritmo de ranking de compatibilidad de negocio con explicación y cálculo de Trust Friction Index; comparador multivariable y leads integrados a WhatsApp.</w:t>
      </w:r>
    </w:p>
    <w:p>
      <w:pPr>
        <w:pStyle w:val="ListBullet"/>
        <w:spacing w:after="80" w:line="276" w:lineRule="auto"/>
      </w:pPr>
      <w:r>
        <w:rPr>
          <w:rFonts w:ascii="Calibri" w:hAnsi="Calibri"/>
          <w:color w:val="333333"/>
          <w:sz w:val="22"/>
        </w:rPr>
        <w:t>5. Canales: WhatsApp API nativo para derivación de leads; redes sociales y Marketplace local; alianzas directas con cámaras de comercio locales (ej. CAINCO) y asociaciones de agentes inmobiliarios; SEO local enfocado en zonas productivas de Santa Cruz (Zona Norte, Equipetrol, Parque Industrial).</w:t>
      </w:r>
    </w:p>
    <w:p>
      <w:pPr>
        <w:pStyle w:val="ListBullet"/>
        <w:spacing w:after="80" w:line="276" w:lineRule="auto"/>
      </w:pPr>
      <w:r>
        <w:rPr>
          <w:rFonts w:ascii="Calibri" w:hAnsi="Calibri"/>
          <w:color w:val="333333"/>
          <w:sz w:val="22"/>
        </w:rPr>
        <w:t>6. Flujo de Ingresos: SAM digital total en Santa Cruz estimado en USD 0.6M-4.7M/año. Ingresos vía SaaS para agentes Pro (USD 10-30/mes), Pay-per-Lead calificado (USD 3-10/lead), cobro por enriquecimiento automático de clasificados (USD 1-5/listing), y planes empresariales para constructoras/desarrolladoras.</w:t>
      </w:r>
    </w:p>
    <w:p>
      <w:pPr>
        <w:pStyle w:val="ListBullet"/>
        <w:spacing w:after="80" w:line="276" w:lineRule="auto"/>
      </w:pPr>
      <w:r>
        <w:rPr>
          <w:rFonts w:ascii="Calibri" w:hAnsi="Calibri"/>
          <w:color w:val="333333"/>
          <w:sz w:val="22"/>
        </w:rPr>
        <w:t>7. Estructura de Costes: Infraestructura cloud (PostgreSQL, hosting en Vercel/Render); API de Gemini (embeddings, prompts); costos de marketing de adquisición B2B y B2C local; soporte administrativo/verificación de datos; costes legales de privacidad y gestión de fuentes de datos.</w:t>
      </w:r>
    </w:p>
    <w:p>
      <w:pPr>
        <w:pStyle w:val="ListBullet"/>
        <w:spacing w:after="80" w:line="276" w:lineRule="auto"/>
      </w:pPr>
      <w:r>
        <w:rPr>
          <w:rFonts w:ascii="Calibri" w:hAnsi="Calibri"/>
          <w:color w:val="333333"/>
          <w:sz w:val="22"/>
        </w:rPr>
        <w:t>8. Métricas Clave (KPIs): Total de búsquedas al mes; % de búsquedas con match útil (&gt;80%); tasa de clics (CTR) hacia WhatsApp; costo de adquisición de cliente (CAC) y tasa de retención mensual (churn); % de publicaciones con campos faltantes completados por la IA.</w:t>
      </w:r>
    </w:p>
    <w:p>
      <w:pPr>
        <w:pStyle w:val="ListBullet"/>
        <w:spacing w:after="80" w:line="276" w:lineRule="auto"/>
      </w:pPr>
      <w:r>
        <w:rPr>
          <w:rFonts w:ascii="Calibri" w:hAnsi="Calibri"/>
          <w:color w:val="333333"/>
          <w:sz w:val="22"/>
        </w:rPr>
        <w:t>9. Ventaja Especial: Conocimiento hiperlocal integrado en el prompt de la IA; modelo de datos mixto adaptado a pymes y comercios locales; Trust Friction Index como métrica propia de fiabilidad; y la primera capa IA de matching comercial y logístico operativa en Bolivia.</w:t>
      </w:r>
    </w:p>
    <w:p>
      <w:pPr>
        <w:pStyle w:val="Heading1"/>
        <w:spacing w:before="240" w:after="120"/>
      </w:pPr>
      <w:r>
        <w:rPr>
          <w:rFonts w:ascii="Calibri" w:hAnsi="Calibri"/>
          <w:b/>
          <w:color w:val="184C78"/>
          <w:sz w:val="28"/>
        </w:rPr>
        <w:t>12. Análisis financiero y proyecciones a 3 años</w:t>
      </w:r>
    </w:p>
    <w:p>
      <w:pPr>
        <w:spacing w:after="120" w:line="276" w:lineRule="auto"/>
        <w:jc w:val="left"/>
      </w:pPr>
      <w:r>
        <w:rPr>
          <w:rFonts w:ascii="Calibri" w:hAnsi="Calibri"/>
          <w:b w:val="0"/>
          <w:i w:val="0"/>
          <w:color w:val="333333"/>
          <w:sz w:val="22"/>
        </w:rPr>
        <w:t>La viabilidad financiera de Mita se sustenta en una baja estructura de costos fijos debido a su naturaleza 100% digital de software, complementado por un alto margen bruto una vez consolidada la masa de agentes y leads comerciales. A continuación se presentan las proyecciones financieras a 3 años estimadas para el mercado de Santa Cruz:</w:t>
      </w:r>
    </w:p>
    <w:p>
      <w:pPr>
        <w:spacing w:after="40" w:line="276" w:lineRule="auto"/>
        <w:jc w:val="left"/>
      </w:pPr>
      <w:r>
        <w:rPr>
          <w:rFonts w:ascii="Calibri" w:hAnsi="Calibri"/>
          <w:b/>
          <w:i w:val="0"/>
          <w:color w:val="333333"/>
          <w:sz w:val="22"/>
        </w:rPr>
        <w:t>Costos Operativos Iniciales (Fase Lanzamiento):</w:t>
      </w:r>
    </w:p>
    <w:p>
      <w:pPr>
        <w:pStyle w:val="ListBullet"/>
        <w:spacing w:after="80" w:line="276" w:lineRule="auto"/>
      </w:pPr>
      <w:r>
        <w:rPr>
          <w:rFonts w:ascii="Calibri" w:hAnsi="Calibri"/>
          <w:color w:val="333333"/>
          <w:sz w:val="22"/>
        </w:rPr>
        <w:t>Hosting e Infraestructura Cloud (PostgreSQL, Render, Vercel, Logs): USD 120 / mes.</w:t>
      </w:r>
    </w:p>
    <w:p>
      <w:pPr>
        <w:pStyle w:val="ListBullet"/>
        <w:spacing w:after="80" w:line="276" w:lineRule="auto"/>
      </w:pPr>
      <w:r>
        <w:rPr>
          <w:rFonts w:ascii="Calibri" w:hAnsi="Calibri"/>
          <w:color w:val="333333"/>
          <w:sz w:val="22"/>
        </w:rPr>
        <w:t>Consumo API de Gemini (Embeddings, JSON parsing, Explicaciones): USD 150 / mes.</w:t>
      </w:r>
    </w:p>
    <w:p>
      <w:pPr>
        <w:pStyle w:val="ListBullet"/>
        <w:spacing w:after="80" w:line="276" w:lineRule="auto"/>
      </w:pPr>
      <w:r>
        <w:rPr>
          <w:rFonts w:ascii="Calibri" w:hAnsi="Calibri"/>
          <w:color w:val="333333"/>
          <w:sz w:val="22"/>
        </w:rPr>
        <w:t>Marketing Digital de Adquisición B2B y B2C local (hotspots comerciales): USD 300 / mes.</w:t>
      </w:r>
    </w:p>
    <w:p>
      <w:pPr>
        <w:pStyle w:val="ListBullet"/>
        <w:spacing w:after="80" w:line="276" w:lineRule="auto"/>
      </w:pPr>
      <w:r>
        <w:rPr>
          <w:rFonts w:ascii="Calibri" w:hAnsi="Calibri"/>
          <w:color w:val="333333"/>
          <w:sz w:val="22"/>
        </w:rPr>
        <w:t>Soporte Técnico y Mantenimiento básico de software: USD 1,000 / mes.</w:t>
      </w:r>
    </w:p>
    <w:p>
      <w:pPr>
        <w:spacing w:after="120" w:line="276" w:lineRule="auto"/>
        <w:jc w:val="left"/>
      </w:pPr>
      <w:r>
        <w:rPr>
          <w:rFonts w:ascii="Calibri" w:hAnsi="Calibri"/>
          <w:b w:val="0"/>
          <w:i w:val="0"/>
          <w:color w:val="333333"/>
          <w:sz w:val="22"/>
        </w:rPr>
        <w:t>Costo Operativo Fijo Mensual Inicial: **USD 1,570** (USD 18,840 anuales).</w:t>
      </w:r>
    </w:p>
    <w:p>
      <w:pPr>
        <w:spacing w:after="40" w:line="276" w:lineRule="auto"/>
        <w:jc w:val="left"/>
      </w:pPr>
      <w:r>
        <w:rPr>
          <w:rFonts w:ascii="Calibri" w:hAnsi="Calibri"/>
          <w:b/>
          <w:i w:val="0"/>
          <w:color w:val="333333"/>
          <w:sz w:val="22"/>
        </w:rPr>
        <w:t>Tabla de Proyecciones de Crecimiento Financiero (Años 1 al 3):</w:t>
      </w:r>
    </w:p>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shd w:fill="184C78"/>
            <w:tcMar>
              <w:top w:w="120" w:type="dxa"/>
              <w:bottom w:w="120" w:type="dxa"/>
              <w:left w:w="150" w:type="dxa"/>
              <w:right w:w="150" w:type="dxa"/>
            </w:tcMar>
          </w:tcPr>
          <w:p>
            <w:pPr>
              <w:spacing w:after="40"/>
              <w:jc w:val="left"/>
            </w:pPr>
            <w:r/>
            <w:r>
              <w:rPr>
                <w:rFonts w:ascii="Calibri" w:hAnsi="Calibri"/>
                <w:b/>
                <w:color w:val="FFFFFF"/>
                <w:sz w:val="21"/>
              </w:rPr>
              <w:t>Año</w:t>
            </w:r>
          </w:p>
        </w:tc>
        <w:tc>
          <w:tcPr>
            <w:tcW w:type="dxa" w:w="2016"/>
            <w:shd w:fill="184C78"/>
            <w:tcMar>
              <w:top w:w="120" w:type="dxa"/>
              <w:bottom w:w="120" w:type="dxa"/>
              <w:left w:w="150" w:type="dxa"/>
              <w:right w:w="150" w:type="dxa"/>
            </w:tcMar>
          </w:tcPr>
          <w:p>
            <w:pPr>
              <w:spacing w:after="40"/>
              <w:jc w:val="left"/>
            </w:pPr>
            <w:r/>
            <w:r>
              <w:rPr>
                <w:rFonts w:ascii="Calibri" w:hAnsi="Calibri"/>
                <w:b/>
                <w:color w:val="FFFFFF"/>
                <w:sz w:val="21"/>
              </w:rPr>
              <w:t>Agentes Pro (SaaS)</w:t>
            </w:r>
          </w:p>
        </w:tc>
        <w:tc>
          <w:tcPr>
            <w:tcW w:type="dxa" w:w="1728"/>
            <w:shd w:fill="184C78"/>
            <w:tcMar>
              <w:top w:w="120" w:type="dxa"/>
              <w:bottom w:w="120" w:type="dxa"/>
              <w:left w:w="150" w:type="dxa"/>
              <w:right w:w="150" w:type="dxa"/>
            </w:tcMar>
          </w:tcPr>
          <w:p>
            <w:pPr>
              <w:spacing w:after="40"/>
              <w:jc w:val="left"/>
            </w:pPr>
            <w:r/>
            <w:r>
              <w:rPr>
                <w:rFonts w:ascii="Calibri" w:hAnsi="Calibri"/>
                <w:b/>
                <w:color w:val="FFFFFF"/>
                <w:sz w:val="21"/>
              </w:rPr>
              <w:t>Leads Vendidos</w:t>
            </w:r>
          </w:p>
        </w:tc>
        <w:tc>
          <w:tcPr>
            <w:tcW w:type="dxa" w:w="1728"/>
            <w:shd w:fill="184C78"/>
            <w:tcMar>
              <w:top w:w="120" w:type="dxa"/>
              <w:bottom w:w="120" w:type="dxa"/>
              <w:left w:w="150" w:type="dxa"/>
              <w:right w:w="150" w:type="dxa"/>
            </w:tcMar>
          </w:tcPr>
          <w:p>
            <w:pPr>
              <w:spacing w:after="40"/>
              <w:jc w:val="left"/>
            </w:pPr>
            <w:r/>
            <w:r>
              <w:rPr>
                <w:rFonts w:ascii="Calibri" w:hAnsi="Calibri"/>
                <w:b/>
                <w:color w:val="FFFFFF"/>
                <w:sz w:val="21"/>
              </w:rPr>
              <w:t>Ingresos SaaS (USD)</w:t>
            </w:r>
          </w:p>
        </w:tc>
        <w:tc>
          <w:tcPr>
            <w:tcW w:type="dxa" w:w="1728"/>
            <w:shd w:fill="184C78"/>
            <w:tcMar>
              <w:top w:w="120" w:type="dxa"/>
              <w:bottom w:w="120" w:type="dxa"/>
              <w:left w:w="150" w:type="dxa"/>
              <w:right w:w="150" w:type="dxa"/>
            </w:tcMar>
          </w:tcPr>
          <w:p>
            <w:pPr>
              <w:spacing w:after="40"/>
              <w:jc w:val="left"/>
            </w:pPr>
            <w:r/>
            <w:r>
              <w:rPr>
                <w:rFonts w:ascii="Calibri" w:hAnsi="Calibri"/>
                <w:b/>
                <w:color w:val="FFFFFF"/>
                <w:sz w:val="21"/>
              </w:rPr>
              <w:t>Ingresos Leads (USD)</w:t>
            </w:r>
          </w:p>
        </w:tc>
        <w:tc>
          <w:tcPr>
            <w:tcW w:type="dxa" w:w="1728"/>
            <w:shd w:fill="184C78"/>
            <w:tcMar>
              <w:top w:w="120" w:type="dxa"/>
              <w:bottom w:w="120" w:type="dxa"/>
              <w:left w:w="150" w:type="dxa"/>
              <w:right w:w="150" w:type="dxa"/>
            </w:tcMar>
          </w:tcPr>
          <w:p>
            <w:pPr>
              <w:spacing w:after="40"/>
              <w:jc w:val="left"/>
            </w:pPr>
            <w:r/>
            <w:r>
              <w:rPr>
                <w:rFonts w:ascii="Calibri" w:hAnsi="Calibri"/>
                <w:b/>
                <w:color w:val="FFFFFF"/>
                <w:sz w:val="21"/>
              </w:rPr>
              <w:t>Ingreso Total (USD)</w:t>
            </w:r>
          </w:p>
        </w:tc>
        <w:tc>
          <w:tcPr>
            <w:tcW w:type="dxa" w:w="1872"/>
            <w:shd w:fill="184C78"/>
            <w:tcMar>
              <w:top w:w="120" w:type="dxa"/>
              <w:bottom w:w="120" w:type="dxa"/>
              <w:left w:w="150" w:type="dxa"/>
              <w:right w:w="150" w:type="dxa"/>
            </w:tcMar>
          </w:tcPr>
          <w:p>
            <w:pPr>
              <w:spacing w:after="40"/>
              <w:jc w:val="left"/>
            </w:pPr>
            <w:r/>
            <w:r>
              <w:rPr>
                <w:rFonts w:ascii="Calibri" w:hAnsi="Calibri"/>
                <w:b/>
                <w:color w:val="FFFFFF"/>
                <w:sz w:val="21"/>
              </w:rPr>
              <w:t>Margen EBITDA (%)</w:t>
            </w:r>
          </w:p>
        </w:tc>
      </w:tr>
      <w:tr>
        <w:tc>
          <w:tcPr>
            <w:tcW w:type="dxa" w:w="1152"/>
            <w:shd w:fill="FFFFFF"/>
            <w:tcMar>
              <w:top w:w="100" w:type="dxa"/>
              <w:bottom w:w="100" w:type="dxa"/>
              <w:left w:w="150" w:type="dxa"/>
              <w:right w:w="150" w:type="dxa"/>
            </w:tcMar>
          </w:tcPr>
          <w:p>
            <w:pPr>
              <w:spacing w:after="40"/>
              <w:jc w:val="left"/>
            </w:pPr>
            <w:r/>
            <w:r>
              <w:rPr>
                <w:rFonts w:ascii="Calibri" w:hAnsi="Calibri"/>
                <w:color w:val="333333"/>
                <w:sz w:val="20"/>
              </w:rPr>
              <w:t>Año 1</w:t>
            </w:r>
          </w:p>
        </w:tc>
        <w:tc>
          <w:tcPr>
            <w:tcW w:type="dxa" w:w="2016"/>
            <w:shd w:fill="FFFFFF"/>
            <w:tcMar>
              <w:top w:w="100" w:type="dxa"/>
              <w:bottom w:w="100" w:type="dxa"/>
              <w:left w:w="150" w:type="dxa"/>
              <w:right w:w="150" w:type="dxa"/>
            </w:tcMar>
          </w:tcPr>
          <w:p>
            <w:pPr>
              <w:spacing w:after="40"/>
              <w:jc w:val="left"/>
            </w:pPr>
            <w:r/>
            <w:r>
              <w:rPr>
                <w:rFonts w:ascii="Calibri" w:hAnsi="Calibri"/>
                <w:color w:val="333333"/>
                <w:sz w:val="20"/>
              </w:rPr>
              <w:t>50 agentes (USD 15/mes)</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1,200 leads (USD 3/lead)</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USD 9,000</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USD 3,600</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USD 12,600</w:t>
            </w:r>
          </w:p>
        </w:tc>
        <w:tc>
          <w:tcPr>
            <w:tcW w:type="dxa" w:w="1872"/>
            <w:shd w:fill="FFFFFF"/>
            <w:tcMar>
              <w:top w:w="100" w:type="dxa"/>
              <w:bottom w:w="100" w:type="dxa"/>
              <w:left w:w="150" w:type="dxa"/>
              <w:right w:w="150" w:type="dxa"/>
            </w:tcMar>
          </w:tcPr>
          <w:p>
            <w:pPr>
              <w:spacing w:after="40"/>
              <w:jc w:val="left"/>
            </w:pPr>
            <w:r/>
            <w:r>
              <w:rPr>
                <w:rFonts w:ascii="Calibri" w:hAnsi="Calibri"/>
                <w:color w:val="333333"/>
                <w:sz w:val="20"/>
              </w:rPr>
              <w:t>-40% (Fase Inversión)</w:t>
            </w:r>
          </w:p>
        </w:tc>
      </w:tr>
      <w:tr>
        <w:tc>
          <w:tcPr>
            <w:tcW w:type="dxa" w:w="1152"/>
            <w:shd w:fill="F2F5F8"/>
            <w:tcMar>
              <w:top w:w="100" w:type="dxa"/>
              <w:bottom w:w="100" w:type="dxa"/>
              <w:left w:w="150" w:type="dxa"/>
              <w:right w:w="150" w:type="dxa"/>
            </w:tcMar>
          </w:tcPr>
          <w:p>
            <w:pPr>
              <w:spacing w:after="40"/>
              <w:jc w:val="left"/>
            </w:pPr>
            <w:r/>
            <w:r>
              <w:rPr>
                <w:rFonts w:ascii="Calibri" w:hAnsi="Calibri"/>
                <w:color w:val="333333"/>
                <w:sz w:val="20"/>
              </w:rPr>
              <w:t>Año 2</w:t>
            </w:r>
          </w:p>
        </w:tc>
        <w:tc>
          <w:tcPr>
            <w:tcW w:type="dxa" w:w="2016"/>
            <w:shd w:fill="F2F5F8"/>
            <w:tcMar>
              <w:top w:w="100" w:type="dxa"/>
              <w:bottom w:w="100" w:type="dxa"/>
              <w:left w:w="150" w:type="dxa"/>
              <w:right w:w="150" w:type="dxa"/>
            </w:tcMar>
          </w:tcPr>
          <w:p>
            <w:pPr>
              <w:spacing w:after="40"/>
              <w:jc w:val="left"/>
            </w:pPr>
            <w:r/>
            <w:r>
              <w:rPr>
                <w:rFonts w:ascii="Calibri" w:hAnsi="Calibri"/>
                <w:color w:val="333333"/>
                <w:sz w:val="20"/>
              </w:rPr>
              <w:t>200 agentes (USD 20/mes)</w:t>
            </w:r>
          </w:p>
        </w:tc>
        <w:tc>
          <w:tcPr>
            <w:tcW w:type="dxa" w:w="1728"/>
            <w:shd w:fill="F2F5F8"/>
            <w:tcMar>
              <w:top w:w="100" w:type="dxa"/>
              <w:bottom w:w="100" w:type="dxa"/>
              <w:left w:w="150" w:type="dxa"/>
              <w:right w:w="150" w:type="dxa"/>
            </w:tcMar>
          </w:tcPr>
          <w:p>
            <w:pPr>
              <w:spacing w:after="40"/>
              <w:jc w:val="left"/>
            </w:pPr>
            <w:r/>
            <w:r>
              <w:rPr>
                <w:rFonts w:ascii="Calibri" w:hAnsi="Calibri"/>
                <w:color w:val="333333"/>
                <w:sz w:val="20"/>
              </w:rPr>
              <w:t>6,000 leads (USD 5/lead)</w:t>
            </w:r>
          </w:p>
        </w:tc>
        <w:tc>
          <w:tcPr>
            <w:tcW w:type="dxa" w:w="1728"/>
            <w:shd w:fill="F2F5F8"/>
            <w:tcMar>
              <w:top w:w="100" w:type="dxa"/>
              <w:bottom w:w="100" w:type="dxa"/>
              <w:left w:w="150" w:type="dxa"/>
              <w:right w:w="150" w:type="dxa"/>
            </w:tcMar>
          </w:tcPr>
          <w:p>
            <w:pPr>
              <w:spacing w:after="40"/>
              <w:jc w:val="left"/>
            </w:pPr>
            <w:r/>
            <w:r>
              <w:rPr>
                <w:rFonts w:ascii="Calibri" w:hAnsi="Calibri"/>
                <w:color w:val="333333"/>
                <w:sz w:val="20"/>
              </w:rPr>
              <w:t>USD 48,000</w:t>
            </w:r>
          </w:p>
        </w:tc>
        <w:tc>
          <w:tcPr>
            <w:tcW w:type="dxa" w:w="1728"/>
            <w:shd w:fill="F2F5F8"/>
            <w:tcMar>
              <w:top w:w="100" w:type="dxa"/>
              <w:bottom w:w="100" w:type="dxa"/>
              <w:left w:w="150" w:type="dxa"/>
              <w:right w:w="150" w:type="dxa"/>
            </w:tcMar>
          </w:tcPr>
          <w:p>
            <w:pPr>
              <w:spacing w:after="40"/>
              <w:jc w:val="left"/>
            </w:pPr>
            <w:r/>
            <w:r>
              <w:rPr>
                <w:rFonts w:ascii="Calibri" w:hAnsi="Calibri"/>
                <w:color w:val="333333"/>
                <w:sz w:val="20"/>
              </w:rPr>
              <w:t>USD 30,000</w:t>
            </w:r>
          </w:p>
        </w:tc>
        <w:tc>
          <w:tcPr>
            <w:tcW w:type="dxa" w:w="1728"/>
            <w:shd w:fill="F2F5F8"/>
            <w:tcMar>
              <w:top w:w="100" w:type="dxa"/>
              <w:bottom w:w="100" w:type="dxa"/>
              <w:left w:w="150" w:type="dxa"/>
              <w:right w:w="150" w:type="dxa"/>
            </w:tcMar>
          </w:tcPr>
          <w:p>
            <w:pPr>
              <w:spacing w:after="40"/>
              <w:jc w:val="left"/>
            </w:pPr>
            <w:r/>
            <w:r>
              <w:rPr>
                <w:rFonts w:ascii="Calibri" w:hAnsi="Calibri"/>
                <w:color w:val="333333"/>
                <w:sz w:val="20"/>
              </w:rPr>
              <w:t>USD 78,000</w:t>
            </w:r>
          </w:p>
        </w:tc>
        <w:tc>
          <w:tcPr>
            <w:tcW w:type="dxa" w:w="1872"/>
            <w:shd w:fill="F2F5F8"/>
            <w:tcMar>
              <w:top w:w="100" w:type="dxa"/>
              <w:bottom w:w="100" w:type="dxa"/>
              <w:left w:w="150" w:type="dxa"/>
              <w:right w:w="150" w:type="dxa"/>
            </w:tcMar>
          </w:tcPr>
          <w:p>
            <w:pPr>
              <w:spacing w:after="40"/>
              <w:jc w:val="left"/>
            </w:pPr>
            <w:r/>
            <w:r>
              <w:rPr>
                <w:rFonts w:ascii="Calibri" w:hAnsi="Calibri"/>
                <w:color w:val="333333"/>
                <w:sz w:val="20"/>
              </w:rPr>
              <w:t>+55% (Sostenible)</w:t>
            </w:r>
          </w:p>
        </w:tc>
      </w:tr>
      <w:tr>
        <w:tc>
          <w:tcPr>
            <w:tcW w:type="dxa" w:w="1152"/>
            <w:shd w:fill="FFFFFF"/>
            <w:tcMar>
              <w:top w:w="100" w:type="dxa"/>
              <w:bottom w:w="100" w:type="dxa"/>
              <w:left w:w="150" w:type="dxa"/>
              <w:right w:w="150" w:type="dxa"/>
            </w:tcMar>
          </w:tcPr>
          <w:p>
            <w:pPr>
              <w:spacing w:after="40"/>
              <w:jc w:val="left"/>
            </w:pPr>
            <w:r/>
            <w:r>
              <w:rPr>
                <w:rFonts w:ascii="Calibri" w:hAnsi="Calibri"/>
                <w:color w:val="333333"/>
                <w:sz w:val="20"/>
              </w:rPr>
              <w:t>Año 3</w:t>
            </w:r>
          </w:p>
        </w:tc>
        <w:tc>
          <w:tcPr>
            <w:tcW w:type="dxa" w:w="2016"/>
            <w:shd w:fill="FFFFFF"/>
            <w:tcMar>
              <w:top w:w="100" w:type="dxa"/>
              <w:bottom w:w="100" w:type="dxa"/>
              <w:left w:w="150" w:type="dxa"/>
              <w:right w:w="150" w:type="dxa"/>
            </w:tcMar>
          </w:tcPr>
          <w:p>
            <w:pPr>
              <w:spacing w:after="40"/>
              <w:jc w:val="left"/>
            </w:pPr>
            <w:r/>
            <w:r>
              <w:rPr>
                <w:rFonts w:ascii="Calibri" w:hAnsi="Calibri"/>
                <w:color w:val="333333"/>
                <w:sz w:val="20"/>
              </w:rPr>
              <w:t>700 agentes (USD 25/mes)</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18,000 leads (USD 7/lead)</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USD 210,000</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USD 126,000</w:t>
            </w:r>
          </w:p>
        </w:tc>
        <w:tc>
          <w:tcPr>
            <w:tcW w:type="dxa" w:w="1728"/>
            <w:shd w:fill="FFFFFF"/>
            <w:tcMar>
              <w:top w:w="100" w:type="dxa"/>
              <w:bottom w:w="100" w:type="dxa"/>
              <w:left w:w="150" w:type="dxa"/>
              <w:right w:w="150" w:type="dxa"/>
            </w:tcMar>
          </w:tcPr>
          <w:p>
            <w:pPr>
              <w:spacing w:after="40"/>
              <w:jc w:val="left"/>
            </w:pPr>
            <w:r/>
            <w:r>
              <w:rPr>
                <w:rFonts w:ascii="Calibri" w:hAnsi="Calibri"/>
                <w:color w:val="333333"/>
                <w:sz w:val="20"/>
              </w:rPr>
              <w:t>USD 336,000</w:t>
            </w:r>
          </w:p>
        </w:tc>
        <w:tc>
          <w:tcPr>
            <w:tcW w:type="dxa" w:w="1872"/>
            <w:shd w:fill="FFFFFF"/>
            <w:tcMar>
              <w:top w:w="100" w:type="dxa"/>
              <w:bottom w:w="100" w:type="dxa"/>
              <w:left w:w="150" w:type="dxa"/>
              <w:right w:w="150" w:type="dxa"/>
            </w:tcMar>
          </w:tcPr>
          <w:p>
            <w:pPr>
              <w:spacing w:after="40"/>
              <w:jc w:val="left"/>
            </w:pPr>
            <w:r/>
            <w:r>
              <w:rPr>
                <w:rFonts w:ascii="Calibri" w:hAnsi="Calibri"/>
                <w:color w:val="333333"/>
                <w:sz w:val="20"/>
              </w:rPr>
              <w:t>+72% (Escalamiento)</w:t>
            </w:r>
          </w:p>
        </w:tc>
      </w:tr>
    </w:tbl>
    <w:p>
      <w:pPr>
        <w:spacing w:after="120"/>
      </w:pPr>
    </w:p>
    <w:p>
      <w:pPr>
        <w:spacing w:after="40" w:line="276" w:lineRule="auto"/>
        <w:jc w:val="left"/>
      </w:pPr>
      <w:r>
        <w:rPr>
          <w:rFonts w:ascii="Calibri" w:hAnsi="Calibri"/>
          <w:b/>
          <w:i w:val="0"/>
          <w:color w:val="333333"/>
          <w:sz w:val="22"/>
        </w:rPr>
        <w:t>Métricas Financieras Unitarias B2B (Año 2):</w:t>
      </w:r>
    </w:p>
    <w:p>
      <w:pPr>
        <w:pStyle w:val="ListBullet"/>
        <w:spacing w:after="80" w:line="276" w:lineRule="auto"/>
      </w:pPr>
      <w:r>
        <w:rPr>
          <w:rFonts w:ascii="Calibri" w:hAnsi="Calibri"/>
          <w:color w:val="333333"/>
          <w:sz w:val="22"/>
        </w:rPr>
        <w:t>Costo de Adquisición de Cliente (CAC) B2B: USD 45 (recuperable en menos de 3 meses de SaaS).</w:t>
      </w:r>
    </w:p>
    <w:p>
      <w:pPr>
        <w:pStyle w:val="ListBullet"/>
        <w:spacing w:after="80" w:line="276" w:lineRule="auto"/>
      </w:pPr>
      <w:r>
        <w:rPr>
          <w:rFonts w:ascii="Calibri" w:hAnsi="Calibri"/>
          <w:color w:val="333333"/>
          <w:sz w:val="22"/>
        </w:rPr>
        <w:t>Lifetime Value (LTV) B2B: USD 360 (estimando un churn mensual del 5.5% y permanencia promedio de 18 meses).</w:t>
      </w:r>
    </w:p>
    <w:p>
      <w:pPr>
        <w:pStyle w:val="ListBullet"/>
        <w:spacing w:after="80" w:line="276" w:lineRule="auto"/>
      </w:pPr>
      <w:r>
        <w:rPr>
          <w:rFonts w:ascii="Calibri" w:hAnsi="Calibri"/>
          <w:color w:val="333333"/>
          <w:sz w:val="22"/>
        </w:rPr>
        <w:t>Relación LTV / CAC: 8.0x, indicando una altísima viabilidad y excelente salud financiera para el negocio.</w:t>
      </w:r>
    </w:p>
    <w:p>
      <w:pPr>
        <w:pStyle w:val="Heading1"/>
        <w:spacing w:before="240" w:after="120"/>
      </w:pPr>
      <w:r>
        <w:rPr>
          <w:rFonts w:ascii="Calibri" w:hAnsi="Calibri"/>
          <w:b/>
          <w:color w:val="184C78"/>
          <w:sz w:val="28"/>
        </w:rPr>
        <w:t>13. Impacto esperado y métricas de éxito</w:t>
      </w:r>
    </w:p>
    <w:p>
      <w:pPr>
        <w:spacing w:after="120" w:line="276" w:lineRule="auto"/>
        <w:jc w:val="left"/>
      </w:pPr>
      <w:r>
        <w:rPr>
          <w:rFonts w:ascii="Calibri" w:hAnsi="Calibri"/>
          <w:b w:val="0"/>
          <w:i w:val="0"/>
          <w:color w:val="333333"/>
          <w:sz w:val="22"/>
        </w:rPr>
        <w:t>Mita genera un triple impacto positivo en el ecosistema inmobiliario y comercial de Santa Cruz de la Sierra:</w:t>
      </w:r>
    </w:p>
    <w:p>
      <w:pPr>
        <w:spacing w:after="40" w:line="276" w:lineRule="auto"/>
        <w:jc w:val="left"/>
      </w:pPr>
      <w:r>
        <w:rPr>
          <w:rFonts w:ascii="Calibri" w:hAnsi="Calibri"/>
          <w:b/>
          <w:i w:val="0"/>
          <w:color w:val="333333"/>
          <w:sz w:val="22"/>
        </w:rPr>
        <w:t>Impacto Económico para Pymes y Emprendedores (Usuarios Finales):</w:t>
      </w:r>
    </w:p>
    <w:p>
      <w:pPr>
        <w:pStyle w:val="ListBullet"/>
        <w:spacing w:after="80" w:line="276" w:lineRule="auto"/>
      </w:pPr>
      <w:r>
        <w:rPr>
          <w:rFonts w:ascii="Calibri" w:hAnsi="Calibri"/>
          <w:color w:val="333333"/>
          <w:sz w:val="22"/>
        </w:rPr>
        <w:t>Ahorro de Tiempo: Reduce el tiempo promedio de búsqueda y pre-selección de un espacio comercial de 21 días (búsqueda manual tradicional) a solo 48 horas para generar un shortlist con más del 85% de match.</w:t>
      </w:r>
    </w:p>
    <w:p>
      <w:pPr>
        <w:pStyle w:val="ListBullet"/>
        <w:spacing w:after="80" w:line="276" w:lineRule="auto"/>
      </w:pPr>
      <w:r>
        <w:rPr>
          <w:rFonts w:ascii="Calibri" w:hAnsi="Calibri"/>
          <w:color w:val="333333"/>
          <w:sz w:val="22"/>
        </w:rPr>
        <w:t>Reducción de Costos Fijos Innecesarios: Al pre-filtrar mediante IA la zonificación y características operativas, las pymes evitan firmar alquileres incompatibles que resulten en multas o la imposibilidad de abrir sus negocios.</w:t>
      </w:r>
    </w:p>
    <w:p>
      <w:pPr>
        <w:spacing w:after="40" w:line="276" w:lineRule="auto"/>
        <w:jc w:val="left"/>
      </w:pPr>
      <w:r>
        <w:rPr>
          <w:rFonts w:ascii="Calibri" w:hAnsi="Calibri"/>
          <w:b/>
          <w:i w:val="0"/>
          <w:color w:val="333333"/>
          <w:sz w:val="22"/>
        </w:rPr>
        <w:t>Impacto Operativo para Agentes Inmobiliarios e Inmobiliarias (Clientes B2B):</w:t>
      </w:r>
    </w:p>
    <w:p>
      <w:pPr>
        <w:pStyle w:val="ListBullet"/>
        <w:spacing w:after="80" w:line="276" w:lineRule="auto"/>
      </w:pPr>
      <w:r>
        <w:rPr>
          <w:rFonts w:ascii="Calibri" w:hAnsi="Calibri"/>
          <w:color w:val="333333"/>
          <w:sz w:val="22"/>
        </w:rPr>
        <w:t>Calidad del Lead: Aumento del 300% en la conversión final. El agente ya no atiende chats fríos preguntando datos básicos omitidos; recibe un lead con contexto ('busca cafetería, tiene garantía, acepta precio, requiere visibilidad').</w:t>
      </w:r>
    </w:p>
    <w:p>
      <w:pPr>
        <w:pStyle w:val="ListBullet"/>
        <w:spacing w:after="80" w:line="276" w:lineRule="auto"/>
      </w:pPr>
      <w:r>
        <w:rPr>
          <w:rFonts w:ascii="Calibri" w:hAnsi="Calibri"/>
          <w:color w:val="333333"/>
          <w:sz w:val="22"/>
        </w:rPr>
        <w:t>Eficiencia Comercial: Ahorro estimado de 12 horas semanales por agente en atención y respuestas repetitivas de datos básicos.</w:t>
      </w:r>
    </w:p>
    <w:p>
      <w:pPr>
        <w:spacing w:after="40" w:line="276" w:lineRule="auto"/>
        <w:jc w:val="left"/>
      </w:pPr>
      <w:r>
        <w:rPr>
          <w:rFonts w:ascii="Calibri" w:hAnsi="Calibri"/>
          <w:b/>
          <w:i w:val="0"/>
          <w:color w:val="333333"/>
          <w:sz w:val="22"/>
        </w:rPr>
        <w:t>Métricas Clave de Éxito del Producto (KPIs):</w:t>
      </w:r>
    </w:p>
    <w:p>
      <w:pPr>
        <w:pStyle w:val="ListBullet"/>
        <w:spacing w:after="80" w:line="276" w:lineRule="auto"/>
      </w:pPr>
      <w:r>
        <w:rPr>
          <w:rFonts w:ascii="Calibri" w:hAnsi="Calibri"/>
          <w:color w:val="333333"/>
          <w:sz w:val="22"/>
        </w:rPr>
        <w:t>Monthly Active Users (MAU): Meta de 3,000 usuarios recurrentes en Santa Cruz al mes 6.</w:t>
      </w:r>
    </w:p>
    <w:p>
      <w:pPr>
        <w:pStyle w:val="ListBullet"/>
        <w:spacing w:after="80" w:line="276" w:lineRule="auto"/>
      </w:pPr>
      <w:r>
        <w:rPr>
          <w:rFonts w:ascii="Calibri" w:hAnsi="Calibri"/>
          <w:color w:val="333333"/>
          <w:sz w:val="22"/>
        </w:rPr>
        <w:t>Lead Conversion Rate (LCR): % de búsquedas conversacionales que resultan en un contacto a WhatsApp (Meta: &gt;15%).</w:t>
      </w:r>
    </w:p>
    <w:p>
      <w:pPr>
        <w:pStyle w:val="ListBullet"/>
        <w:spacing w:after="80" w:line="276" w:lineRule="auto"/>
      </w:pPr>
      <w:r>
        <w:rPr>
          <w:rFonts w:ascii="Calibri" w:hAnsi="Calibri"/>
          <w:color w:val="333333"/>
          <w:sz w:val="22"/>
        </w:rPr>
        <w:t>Indice de Integridad de Publicaciones: Incremento del promedio de completitud del inventario inmobiliario del 45% (línea base de Facebook) a un 90% en la plataforma Mita.</w:t>
      </w:r>
    </w:p>
    <w:p>
      <w:pPr>
        <w:pStyle w:val="Heading1"/>
        <w:spacing w:before="240" w:after="120"/>
      </w:pPr>
      <w:r>
        <w:rPr>
          <w:rFonts w:ascii="Calibri" w:hAnsi="Calibri"/>
          <w:b/>
          <w:color w:val="184C78"/>
          <w:sz w:val="28"/>
        </w:rPr>
        <w:t>14. Riesgos y mitigación</w:t>
      </w:r>
    </w:p>
    <w:p>
      <w:pPr>
        <w:spacing w:after="120" w:line="276" w:lineRule="auto"/>
        <w:jc w:val="left"/>
      </w:pPr>
      <w:r>
        <w:rPr>
          <w:rFonts w:ascii="Calibri" w:hAnsi="Calibri"/>
          <w:b w:val="0"/>
          <w:i w:val="0"/>
          <w:color w:val="333333"/>
          <w:sz w:val="22"/>
        </w:rPr>
        <w:t>A continuación se listan los principales riesgos que enfrenta la operación de Mita y sus correspondientes estrategias de mitigación formuladas:</w:t>
      </w:r>
    </w:p>
    <w:tbl>
      <w:tblPr>
        <w:tblW w:type="auto" w:w="0"/>
        <w:tblLayout w:type="fixed"/>
        <w:tblLook w:firstColumn="1" w:firstRow="1" w:lastColumn="0" w:lastRow="0" w:noHBand="0" w:noVBand="1" w:val="04A0"/>
      </w:tblPr>
      <w:tblGrid>
        <w:gridCol w:w="4680"/>
        <w:gridCol w:w="4680"/>
      </w:tblGrid>
      <w:tr>
        <w:tc>
          <w:tcPr>
            <w:tcW w:type="dxa" w:w="4032"/>
            <w:shd w:fill="184C78"/>
            <w:tcMar>
              <w:top w:w="120" w:type="dxa"/>
              <w:bottom w:w="120" w:type="dxa"/>
              <w:left w:w="150" w:type="dxa"/>
              <w:right w:w="150" w:type="dxa"/>
            </w:tcMar>
          </w:tcPr>
          <w:p>
            <w:pPr>
              <w:spacing w:after="40"/>
              <w:jc w:val="left"/>
            </w:pPr>
            <w:r/>
            <w:r>
              <w:rPr>
                <w:rFonts w:ascii="Calibri" w:hAnsi="Calibri"/>
                <w:b/>
                <w:color w:val="FFFFFF"/>
                <w:sz w:val="21"/>
              </w:rPr>
              <w:t>Riesgo Identificado</w:t>
            </w:r>
          </w:p>
        </w:tc>
        <w:tc>
          <w:tcPr>
            <w:tcW w:type="dxa" w:w="5328"/>
            <w:shd w:fill="184C78"/>
            <w:tcMar>
              <w:top w:w="120" w:type="dxa"/>
              <w:bottom w:w="120" w:type="dxa"/>
              <w:left w:w="150" w:type="dxa"/>
              <w:right w:w="150" w:type="dxa"/>
            </w:tcMar>
          </w:tcPr>
          <w:p>
            <w:pPr>
              <w:spacing w:after="40"/>
              <w:jc w:val="left"/>
            </w:pPr>
            <w:r/>
            <w:r>
              <w:rPr>
                <w:rFonts w:ascii="Calibri" w:hAnsi="Calibri"/>
                <w:b/>
                <w:color w:val="FFFFFF"/>
                <w:sz w:val="21"/>
              </w:rPr>
              <w:t>Estrategia de Mitigación Diseñada por Mita</w:t>
            </w:r>
          </w:p>
        </w:tc>
      </w:tr>
      <w:tr>
        <w:tc>
          <w:tcPr>
            <w:tcW w:type="dxa" w:w="4032"/>
            <w:shd w:fill="FFFFFF"/>
            <w:tcMar>
              <w:top w:w="100" w:type="dxa"/>
              <w:bottom w:w="100" w:type="dxa"/>
              <w:left w:w="150" w:type="dxa"/>
              <w:right w:w="150" w:type="dxa"/>
            </w:tcMar>
          </w:tcPr>
          <w:p>
            <w:pPr>
              <w:spacing w:after="40"/>
              <w:jc w:val="left"/>
            </w:pPr>
            <w:r/>
            <w:r>
              <w:rPr>
                <w:rFonts w:ascii="Calibri" w:hAnsi="Calibri"/>
                <w:color w:val="333333"/>
                <w:sz w:val="20"/>
              </w:rPr>
              <w:t>Datos Incompletos o Falsos en Publicaciones de Redes</w:t>
            </w:r>
          </w:p>
        </w:tc>
        <w:tc>
          <w:tcPr>
            <w:tcW w:type="dxa" w:w="5328"/>
            <w:shd w:fill="FFFFFF"/>
            <w:tcMar>
              <w:top w:w="100" w:type="dxa"/>
              <w:bottom w:w="100" w:type="dxa"/>
              <w:left w:w="150" w:type="dxa"/>
              <w:right w:w="150" w:type="dxa"/>
            </w:tcMar>
          </w:tcPr>
          <w:p>
            <w:pPr>
              <w:spacing w:after="40"/>
              <w:jc w:val="left"/>
            </w:pPr>
            <w:r/>
            <w:r>
              <w:rPr>
                <w:rFonts w:ascii="Calibri" w:hAnsi="Calibri"/>
                <w:color w:val="333333"/>
                <w:sz w:val="20"/>
              </w:rPr>
              <w:t>El motor de IA de Mita calcula automáticamente el Trust Friction Index y expone de forma explícita los campos faltantes, instando al usuario a confirmar por chat antes de visitar.</w:t>
            </w:r>
          </w:p>
        </w:tc>
      </w:tr>
      <w:tr>
        <w:tc>
          <w:tcPr>
            <w:tcW w:type="dxa" w:w="4032"/>
            <w:shd w:fill="F2F5F8"/>
            <w:tcMar>
              <w:top w:w="100" w:type="dxa"/>
              <w:bottom w:w="100" w:type="dxa"/>
              <w:left w:w="150" w:type="dxa"/>
              <w:right w:w="150" w:type="dxa"/>
            </w:tcMar>
          </w:tcPr>
          <w:p>
            <w:pPr>
              <w:spacing w:after="40"/>
              <w:jc w:val="left"/>
            </w:pPr>
            <w:r/>
            <w:r>
              <w:rPr>
                <w:rFonts w:ascii="Calibri" w:hAnsi="Calibri"/>
                <w:color w:val="333333"/>
                <w:sz w:val="20"/>
              </w:rPr>
              <w:t>Falso Positivo en Ranking de Compatibilidad (IA errónea)</w:t>
            </w:r>
          </w:p>
        </w:tc>
        <w:tc>
          <w:tcPr>
            <w:tcW w:type="dxa" w:w="5328"/>
            <w:shd w:fill="F2F5F8"/>
            <w:tcMar>
              <w:top w:w="100" w:type="dxa"/>
              <w:bottom w:w="100" w:type="dxa"/>
              <w:left w:w="150" w:type="dxa"/>
              <w:right w:w="150" w:type="dxa"/>
            </w:tcMar>
          </w:tcPr>
          <w:p>
            <w:pPr>
              <w:spacing w:after="40"/>
              <w:jc w:val="left"/>
            </w:pPr>
            <w:r/>
            <w:r>
              <w:rPr>
                <w:rFonts w:ascii="Calibri" w:hAnsi="Calibri"/>
                <w:color w:val="333333"/>
                <w:sz w:val="20"/>
              </w:rPr>
              <w:t>El sistema implementa una IA Explicativa transparente que desglosa en español los Pros, Contras y Alertas de forma detallada, permitiendo al usuario juzgar con contexto.</w:t>
            </w:r>
          </w:p>
        </w:tc>
      </w:tr>
      <w:tr>
        <w:tc>
          <w:tcPr>
            <w:tcW w:type="dxa" w:w="4032"/>
            <w:shd w:fill="FFFFFF"/>
            <w:tcMar>
              <w:top w:w="100" w:type="dxa"/>
              <w:bottom w:w="100" w:type="dxa"/>
              <w:left w:w="150" w:type="dxa"/>
              <w:right w:w="150" w:type="dxa"/>
            </w:tcMar>
          </w:tcPr>
          <w:p>
            <w:pPr>
              <w:spacing w:after="40"/>
              <w:jc w:val="left"/>
            </w:pPr>
            <w:r/>
            <w:r>
              <w:rPr>
                <w:rFonts w:ascii="Calibri" w:hAnsi="Calibri"/>
                <w:color w:val="333333"/>
                <w:sz w:val="20"/>
              </w:rPr>
              <w:t>Acceso No Autorizado a Fuentes de Datos (Scraping)</w:t>
            </w:r>
          </w:p>
        </w:tc>
        <w:tc>
          <w:tcPr>
            <w:tcW w:type="dxa" w:w="5328"/>
            <w:shd w:fill="FFFFFF"/>
            <w:tcMar>
              <w:top w:w="100" w:type="dxa"/>
              <w:bottom w:w="100" w:type="dxa"/>
              <w:left w:w="150" w:type="dxa"/>
              <w:right w:w="150" w:type="dxa"/>
            </w:tcMar>
          </w:tcPr>
          <w:p>
            <w:pPr>
              <w:spacing w:after="40"/>
              <w:jc w:val="left"/>
            </w:pPr>
            <w:r/>
            <w:r>
              <w:rPr>
                <w:rFonts w:ascii="Calibri" w:hAnsi="Calibri"/>
                <w:color w:val="333333"/>
                <w:sz w:val="20"/>
              </w:rPr>
              <w:t>En la etapa de MVP se trabaja sobre un dataset curado y fuentes permitidas. A mediano plazo, se firmarán API partnerships con inmobiliarias y portales locales.</w:t>
            </w:r>
          </w:p>
        </w:tc>
      </w:tr>
      <w:tr>
        <w:tc>
          <w:tcPr>
            <w:tcW w:type="dxa" w:w="4032"/>
            <w:shd w:fill="F2F5F8"/>
            <w:tcMar>
              <w:top w:w="100" w:type="dxa"/>
              <w:bottom w:w="100" w:type="dxa"/>
              <w:left w:w="150" w:type="dxa"/>
              <w:right w:w="150" w:type="dxa"/>
            </w:tcMar>
          </w:tcPr>
          <w:p>
            <w:pPr>
              <w:spacing w:after="40"/>
              <w:jc w:val="left"/>
            </w:pPr>
            <w:r/>
            <w:r>
              <w:rPr>
                <w:rFonts w:ascii="Calibri" w:hAnsi="Calibri"/>
                <w:color w:val="333333"/>
                <w:sz w:val="20"/>
              </w:rPr>
              <w:t>Falta de Adopción por Agentes Inmobiliarios Tradicionales</w:t>
            </w:r>
          </w:p>
        </w:tc>
        <w:tc>
          <w:tcPr>
            <w:tcW w:type="dxa" w:w="5328"/>
            <w:shd w:fill="F2F5F8"/>
            <w:tcMar>
              <w:top w:w="100" w:type="dxa"/>
              <w:bottom w:w="100" w:type="dxa"/>
              <w:left w:w="150" w:type="dxa"/>
              <w:right w:w="150" w:type="dxa"/>
            </w:tcMar>
          </w:tcPr>
          <w:p>
            <w:pPr>
              <w:spacing w:after="40"/>
              <w:jc w:val="left"/>
            </w:pPr>
            <w:r/>
            <w:r>
              <w:rPr>
                <w:rFonts w:ascii="Calibri" w:hAnsi="Calibri"/>
                <w:color w:val="333333"/>
                <w:sz w:val="20"/>
              </w:rPr>
              <w:t>Estrategia de onboarding gratuita ofreciendo el 'Modo Agente' de enriquecimiento de publicaciones sin costo inicial para demostrar la calidad del lead calificado.</w:t>
            </w:r>
          </w:p>
        </w:tc>
      </w:tr>
      <w:tr>
        <w:tc>
          <w:tcPr>
            <w:tcW w:type="dxa" w:w="4032"/>
            <w:shd w:fill="FFFFFF"/>
            <w:tcMar>
              <w:top w:w="100" w:type="dxa"/>
              <w:bottom w:w="100" w:type="dxa"/>
              <w:left w:w="150" w:type="dxa"/>
              <w:right w:w="150" w:type="dxa"/>
            </w:tcMar>
          </w:tcPr>
          <w:p>
            <w:pPr>
              <w:spacing w:after="40"/>
              <w:jc w:val="left"/>
            </w:pPr>
            <w:r/>
            <w:r>
              <w:rPr>
                <w:rFonts w:ascii="Calibri" w:hAnsi="Calibri"/>
                <w:color w:val="333333"/>
                <w:sz w:val="20"/>
              </w:rPr>
              <w:t>Riesgo de Responsabilidad Legal por Fraude Físico</w:t>
            </w:r>
          </w:p>
        </w:tc>
        <w:tc>
          <w:tcPr>
            <w:tcW w:type="dxa" w:w="5328"/>
            <w:shd w:fill="FFFFFF"/>
            <w:tcMar>
              <w:top w:w="100" w:type="dxa"/>
              <w:bottom w:w="100" w:type="dxa"/>
              <w:left w:w="150" w:type="dxa"/>
              <w:right w:w="150" w:type="dxa"/>
            </w:tcMar>
          </w:tcPr>
          <w:p>
            <w:pPr>
              <w:spacing w:after="40"/>
              <w:jc w:val="left"/>
            </w:pPr>
            <w:r/>
            <w:r>
              <w:rPr>
                <w:rFonts w:ascii="Calibri" w:hAnsi="Calibri"/>
                <w:color w:val="333333"/>
                <w:sz w:val="20"/>
              </w:rPr>
              <w:t>Los términos de servicio aclaran que Mita es un agregador de información y matching basado en IA. El Trust Friction Index ayuda a alertar, pero no sustituye la revisión contractual.</w:t>
            </w:r>
          </w:p>
        </w:tc>
      </w:tr>
    </w:tbl>
    <w:p>
      <w:pPr>
        <w:spacing w:after="120"/>
      </w:pPr>
    </w:p>
    <w:p>
      <w:pPr>
        <w:pStyle w:val="Heading1"/>
        <w:spacing w:before="240" w:after="120"/>
      </w:pPr>
      <w:r>
        <w:rPr>
          <w:rFonts w:ascii="Calibri" w:hAnsi="Calibri"/>
          <w:b/>
          <w:color w:val="184C78"/>
          <w:sz w:val="28"/>
        </w:rPr>
        <w:t>15. Pitch de negocio (30s / 90s)</w:t>
      </w:r>
    </w:p>
    <w:p>
      <w:pPr>
        <w:spacing w:after="40" w:line="276" w:lineRule="auto"/>
        <w:jc w:val="left"/>
      </w:pPr>
      <w:r>
        <w:rPr>
          <w:rFonts w:ascii="Calibri" w:hAnsi="Calibri"/>
          <w:b/>
          <w:i w:val="0"/>
          <w:color w:val="333333"/>
          <w:sz w:val="22"/>
        </w:rPr>
        <w:t>Pitch de 30 Segundos (Elevator Pitch):</w:t>
      </w:r>
    </w:p>
    <w:p>
      <w:pPr>
        <w:spacing w:after="120" w:line="276" w:lineRule="auto"/>
        <w:jc w:val="left"/>
      </w:pPr>
      <w:r>
        <w:rPr>
          <w:rFonts w:ascii="Calibri" w:hAnsi="Calibri"/>
          <w:b w:val="0"/>
          <w:i/>
          <w:color w:val="333333"/>
          <w:sz w:val="22"/>
        </w:rPr>
        <w:t>“Mita es un agente inmobiliario con IA diseñado para encontrar espacios comerciales y logísticos en Santa Cruz de la Sierra. Hoy en día, las pymes y personas que buscan un local, oficina, depósito o vivienda se topan con publicaciones caóticas, duplicadas e incompletas en redes sociales. Mita procesa y normaliza esta información mediante IA, entiende la necesidad operativa del usuario en lenguaje conversacional, ordena las opciones por compatibilidad en un ranking explicable, y lo conecta por WhatsApp con un lead altamente calificado. Digitalizamos la economía física de Santa Cruz.”</w:t>
      </w:r>
    </w:p>
    <w:p>
      <w:pPr>
        <w:spacing w:after="40" w:line="276" w:lineRule="auto"/>
        <w:jc w:val="left"/>
      </w:pPr>
      <w:r>
        <w:rPr>
          <w:rFonts w:ascii="Calibri" w:hAnsi="Calibri"/>
          <w:b/>
          <w:i w:val="0"/>
          <w:color w:val="333333"/>
          <w:sz w:val="22"/>
        </w:rPr>
        <w:t>Pitch de 90 Segundos:</w:t>
      </w:r>
    </w:p>
    <w:p>
      <w:pPr>
        <w:spacing w:after="120" w:line="276" w:lineRule="auto"/>
        <w:jc w:val="left"/>
      </w:pPr>
      <w:r>
        <w:rPr>
          <w:rFonts w:ascii="Calibri" w:hAnsi="Calibri"/>
          <w:b w:val="0"/>
          <w:i/>
          <w:color w:val="333333"/>
          <w:sz w:val="22"/>
        </w:rPr>
        <w:t>“La economía física de espacios en Santa Cruz representa USD 2.21B anuales, es el 13.3% del PIB departamental, sin embargo, buscar infraestructura comercial sigue siendo manual, frustrante e informal. Los agentes inmobiliarios pierden el 80% de su tiempo atendiendo llamadas que no cierran, y los emprendedores pierden semanas buscando un local apto para operar. Mita resuelve esta fricción como una capa de inteligencia de software. Nuestra IA convierte descripciones informales en datos estructurados JSON, calcula la compatibilidad semántica del espacio con la actividad comercial (como saber si un local sirve para una cafetería por sus servicios y zonificación), explica los tradeoffs con pros y contras, y genera un contacto estructurado por WhatsApp. No reemplazamos al agente inmobiliario; lo potenciamos con leads calificados listos para transaccionar bajo un modelo SaaS B2B recurrente y altamente escalable. Somos Mita, y convertimos el caos inmobiliario en decisiones claras.”</w:t>
      </w:r>
    </w:p>
    <w:p>
      <w:pPr>
        <w:pStyle w:val="Heading1"/>
        <w:spacing w:before="240" w:after="120"/>
      </w:pPr>
      <w:r>
        <w:rPr>
          <w:rFonts w:ascii="Calibri" w:hAnsi="Calibri"/>
          <w:b/>
          <w:color w:val="184C78"/>
          <w:sz w:val="28"/>
        </w:rPr>
        <w:t>16. Fuentes base y referencias</w:t>
      </w:r>
    </w:p>
    <w:p>
      <w:pPr>
        <w:spacing w:after="120" w:line="276" w:lineRule="auto"/>
        <w:jc w:val="left"/>
      </w:pPr>
      <w:r>
        <w:rPr>
          <w:rFonts w:ascii="Calibri" w:hAnsi="Calibri"/>
          <w:b w:val="0"/>
          <w:i w:val="0"/>
          <w:color w:val="333333"/>
          <w:sz w:val="22"/>
        </w:rPr>
        <w:t>El desarrollo técnico, de mercado y financiero de Mita se sustenta en las siguientes fuentes oficiales e investigaciones del mercado de Santa Cruz de la Sierra:</w:t>
      </w:r>
    </w:p>
    <w:p>
      <w:pPr>
        <w:pStyle w:val="ListBullet"/>
        <w:spacing w:after="80" w:line="276" w:lineRule="auto"/>
      </w:pPr>
      <w:r>
        <w:rPr>
          <w:rFonts w:ascii="Calibri" w:hAnsi="Calibri"/>
          <w:color w:val="333333"/>
          <w:sz w:val="22"/>
        </w:rPr>
        <w:t>Instituto Nacional de Estadística (INE): Cuentas Nacionales Departamentales de Santa Cruz, PIB por Actividad Económica 2017-2024 y Serie Histórica 1980-2024 (Construcción y Actividades Inmobiliarias/Alquileres).</w:t>
      </w:r>
    </w:p>
    <w:p>
      <w:pPr>
        <w:pStyle w:val="ListBullet"/>
        <w:spacing w:after="80" w:line="276" w:lineRule="auto"/>
      </w:pPr>
      <w:r>
        <w:rPr>
          <w:rFonts w:ascii="Calibri" w:hAnsi="Calibri"/>
          <w:color w:val="333333"/>
          <w:sz w:val="22"/>
        </w:rPr>
        <w:t>SEPREC (Servicio Plurinacional de Registro de Comercio): Memoria Anual 2024 y estadísticas de nuevas inscripciones de empresas en el departamento de Santa Cruz.</w:t>
      </w:r>
    </w:p>
    <w:p>
      <w:pPr>
        <w:pStyle w:val="ListBullet"/>
        <w:spacing w:after="80" w:line="276" w:lineRule="auto"/>
      </w:pPr>
      <w:r>
        <w:rPr>
          <w:rFonts w:ascii="Calibri" w:hAnsi="Calibri"/>
          <w:color w:val="333333"/>
          <w:sz w:val="22"/>
        </w:rPr>
        <w:t>INE: Censo Nacional de Población y Vivienda 2024 (Datos preliminares de hogares en alquiler y crecimiento urbano de Santa Cruz).</w:t>
      </w:r>
    </w:p>
    <w:p>
      <w:pPr>
        <w:pStyle w:val="ListBullet"/>
        <w:spacing w:after="80" w:line="276" w:lineRule="auto"/>
      </w:pPr>
      <w:r>
        <w:rPr>
          <w:rFonts w:ascii="Calibri" w:hAnsi="Calibri"/>
          <w:color w:val="333333"/>
          <w:sz w:val="22"/>
        </w:rPr>
        <w:t>ATT (Autoridad de Regulación y Fiscalización de Telecomunicaciones y Transportes): Reportes anuales de conectividad, penetración de internet móvil y telefonía activa en Bolivia (2024).</w:t>
      </w:r>
    </w:p>
    <w:p>
      <w:pPr>
        <w:pStyle w:val="ListBullet"/>
        <w:spacing w:after="80" w:line="276" w:lineRule="auto"/>
      </w:pPr>
      <w:r>
        <w:rPr>
          <w:rFonts w:ascii="Calibri" w:hAnsi="Calibri"/>
          <w:color w:val="333333"/>
          <w:sz w:val="22"/>
        </w:rPr>
        <w:t>Reportes Sectoriales: Informes del Instituto Boliviano de Comercio Exterior (IBCE) sobre transacciones inmobiliarias locales, boletines económicos de Cadecocruz, y datos transaccionales publicados por franquicias inmobiliarias (Century 21 Bolivia, 2023-2024).</w:t>
      </w:r>
    </w:p>
    <w:p>
      <w:pPr>
        <w:pStyle w:val="ListBullet"/>
        <w:spacing w:after="80" w:line="276" w:lineRule="auto"/>
      </w:pPr>
      <w:r>
        <w:rPr>
          <w:rFonts w:ascii="Calibri" w:hAnsi="Calibri"/>
          <w:color w:val="333333"/>
          <w:sz w:val="22"/>
        </w:rPr>
        <w:t>Prensa Local y Judicial: Reportes periodísticos de El Día, Unitel y Los Tiempos sobre estafas de anticréticos dobles y procesos judiciales de urbanizaciones irregulares en Santa Cruz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