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SPEECH &amp; NLP MODELS BENCHMARK EVALUATION REPORT</w:t>
      </w:r>
    </w:p>
    <w:p>
      <w:pPr>
        <w:jc w:val="center"/>
      </w:pPr>
      <w:r>
        <w:rPr>
          <w:i/>
          <w:color w:val="7F7F7F"/>
          <w:sz w:val="28"/>
        </w:rPr>
        <w:t>Boilerplate Setup, STT &amp; TTS Performance Analysis</w:t>
      </w:r>
    </w:p>
    <w:p>
      <w:r>
        <w:br/>
      </w:r>
    </w:p>
    <w:p>
      <w:pPr>
        <w:pStyle w:val="Heading1"/>
      </w:pPr>
      <w:r>
        <w:rPr>
          <w:color w:val="1F4E79"/>
        </w:rPr>
        <w:t>1. Executive Summary &amp; GO/NO-GO Recommendation</w:t>
      </w:r>
    </w:p>
    <w:p>
      <w:r>
        <w:t>This report summarizes the verification, integration, and performance benchmarks of local Speech-to-Text (STT), Text-to-Speech (TTS), and Natural Language Processing (NLP) models evaluated on local development hardware (macOS ARM64 CPU). The primary goal is to establish base performance indicators and determine the production viability of local execution versus cloud services.</w:t>
      </w:r>
    </w:p>
    <w:p>
      <w:pPr>
        <w:pStyle w:val="Heading2"/>
      </w:pPr>
      <w:r>
        <w:rPr>
          <w:color w:val="2E74B5"/>
        </w:rPr>
        <w:t>1.1 Recommendation Summary</w:t>
      </w:r>
    </w:p>
    <w:p>
      <w:pPr>
        <w:pStyle w:val="Heading3"/>
      </w:pPr>
      <w:r>
        <w:t>Speech-to-Text (STT) - Faster-Whisper: GO (Base Model)</w:t>
      </w:r>
    </w:p>
    <w:p>
      <w:r>
        <w:t>Based on evaluations across 11 audio clips, the Whisper Base model is recommended. It achieves a Word Error Rate (WER) of 18.68% while maintaining a low processing latency of 7.85 seconds per minute of audio. Whisper Tiny is faster (5.04s) but shows an increased error rate (20.74%). Whisper Small is slower (21.24s) and did not show significant accuracy improvements on local CPU execution.</w:t>
      </w:r>
    </w:p>
    <w:p>
      <w:pPr>
        <w:pStyle w:val="Heading3"/>
      </w:pPr>
      <w:r>
        <w:t>Text-to-Speech (TTS) - Piper: GO (Amy or Joe Voices)</w:t>
      </w:r>
    </w:p>
    <w:p>
      <w:r>
        <w:t>All 5 evaluated Piper voices demonstrated excellent speed, executing roughly 5x faster than real-time. Amy (Medium) and Joe (Medium) are the top candidates. Amy achieved the lowest average Real-Time Factor (RTF) of 0.189 on product phrases, providing high-quality natural voice synthesis under minimal CPU load.</w:t>
      </w:r>
    </w:p>
    <w:p>
      <w:pPr>
        <w:pStyle w:val="Heading3"/>
      </w:pPr>
      <w:r>
        <w:t>Natural Language Processing (NLP) - spaCy: GO</w:t>
      </w:r>
    </w:p>
    <w:p>
      <w:r>
        <w:t>spaCy's en_core_web_sm pipeline successfully completed verification for entity extraction and linguistic analysis. It loads instantaneously and runs with sub-millisecond execution times, making it a definitive GO for integration.</w:t>
      </w:r>
    </w:p>
    <w:p>
      <w:r>
        <w:br w:type="page"/>
      </w:r>
    </w:p>
    <w:p>
      <w:pPr>
        <w:pStyle w:val="Heading1"/>
      </w:pPr>
      <w:r>
        <w:rPr>
          <w:color w:val="1F4E79"/>
        </w:rPr>
        <w:t>2. Repository Architecture &amp; Git Setup</w:t>
      </w:r>
    </w:p>
    <w:p>
      <w:r>
        <w:t>The project layout has been initialized to segregate model runtime services, datasets, and testing configurations. Local branch protection has been established using Git pre-push hooks to secure the 'main' branch.</w:t>
      </w:r>
    </w:p>
    <w:p>
      <w:r>
        <w:t>Core Directory Segregations:</w:t>
      </w:r>
    </w:p>
    <w:p>
      <w:pPr>
        <w:pStyle w:val="ListBullet"/>
      </w:pPr>
      <w:r>
        <w:t>- backend/: Main backend service architecture.</w:t>
      </w:r>
    </w:p>
    <w:p>
      <w:pPr>
        <w:pStyle w:val="ListBullet"/>
      </w:pPr>
      <w:r>
        <w:t>- frontend/: User interface client files.</w:t>
      </w:r>
    </w:p>
    <w:p>
      <w:pPr>
        <w:pStyle w:val="ListBullet"/>
      </w:pPr>
      <w:r>
        <w:t>- services/: Shared pipeline loaders (nlp, stt, tts).</w:t>
      </w:r>
    </w:p>
    <w:p>
      <w:pPr>
        <w:pStyle w:val="ListBullet"/>
      </w:pPr>
      <w:r>
        <w:t>- data/: Local evaluation datasets (audio/ &amp; transcripts/).</w:t>
      </w:r>
    </w:p>
    <w:p>
      <w:pPr>
        <w:pStyle w:val="ListBullet"/>
      </w:pPr>
      <w:r>
        <w:t>- tests/: Evaluation, validation, and benchmarking scripts.</w:t>
      </w:r>
    </w:p>
    <w:p>
      <w:pPr>
        <w:pStyle w:val="ListBullet"/>
      </w:pPr>
      <w:r>
        <w:t>- docs/: Generated reports, logs, and documentation.</w:t>
      </w:r>
    </w:p>
    <w:p>
      <w:r>
        <w:br/>
      </w:r>
    </w:p>
    <w:p>
      <w:pPr>
        <w:pStyle w:val="Heading1"/>
      </w:pPr>
      <w:r>
        <w:rPr>
          <w:color w:val="1F4E79"/>
        </w:rPr>
        <w:t>3. Speech-to-Text (STT) Performance Benchmarks</w:t>
      </w:r>
    </w:p>
    <w:p>
      <w:r>
        <w:t>The Whisper STT models (Tiny, Base, and Small) were benchmarked using 11 audio clips (custom recordings + LJ Speech datasets). Latency represents processing CPU seconds per minute of audio.</w:t>
      </w:r>
    </w:p>
    <w:tbl>
      <w:tblPr>
        <w:tblStyle w:val="LightShading-Accent1"/>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rPr>
              <w:t>Model Size</w:t>
            </w:r>
          </w:p>
        </w:tc>
        <w:tc>
          <w:tcPr>
            <w:tcW w:type="dxa" w:w="2880"/>
            <w:shd w:val="clear" w:color="auto" w:fill="1F4E79"/>
          </w:tcPr>
          <w:p>
            <w:r>
              <w:rPr>
                <w:b/>
                <w:color w:val="FFFFFF"/>
              </w:rPr>
              <w:t>Latency (Processing Time per 1 Min Audio)</w:t>
            </w:r>
          </w:p>
        </w:tc>
        <w:tc>
          <w:tcPr>
            <w:tcW w:type="dxa" w:w="2880"/>
            <w:shd w:val="clear" w:color="auto" w:fill="1F4E79"/>
          </w:tcPr>
          <w:p>
            <w:r>
              <w:rPr>
                <w:b/>
                <w:color w:val="FFFFFF"/>
              </w:rPr>
              <w:t>Word Error Rate (WER %)</w:t>
            </w:r>
          </w:p>
        </w:tc>
      </w:tr>
      <w:tr>
        <w:tc>
          <w:tcPr>
            <w:tcW w:type="dxa" w:w="2880"/>
          </w:tcPr>
          <w:p>
            <w:r>
              <w:t>Tiny</w:t>
            </w:r>
          </w:p>
        </w:tc>
        <w:tc>
          <w:tcPr>
            <w:tcW w:type="dxa" w:w="2880"/>
          </w:tcPr>
          <w:p>
            <w:r>
              <w:t>5.04 seconds</w:t>
            </w:r>
          </w:p>
        </w:tc>
        <w:tc>
          <w:tcPr>
            <w:tcW w:type="dxa" w:w="2880"/>
          </w:tcPr>
          <w:p>
            <w:r>
              <w:t>20.74%</w:t>
            </w:r>
          </w:p>
        </w:tc>
      </w:tr>
      <w:tr>
        <w:tc>
          <w:tcPr>
            <w:tcW w:type="dxa" w:w="2880"/>
            <w:shd w:val="clear" w:color="auto" w:fill="F2F4F7"/>
          </w:tcPr>
          <w:p>
            <w:r>
              <w:t>Base</w:t>
            </w:r>
          </w:p>
        </w:tc>
        <w:tc>
          <w:tcPr>
            <w:tcW w:type="dxa" w:w="2880"/>
            <w:shd w:val="clear" w:color="auto" w:fill="F2F4F7"/>
          </w:tcPr>
          <w:p>
            <w:r>
              <w:t>7.85 seconds</w:t>
            </w:r>
          </w:p>
        </w:tc>
        <w:tc>
          <w:tcPr>
            <w:tcW w:type="dxa" w:w="2880"/>
            <w:shd w:val="clear" w:color="auto" w:fill="F2F4F7"/>
          </w:tcPr>
          <w:p>
            <w:r>
              <w:t>18.68%</w:t>
            </w:r>
          </w:p>
        </w:tc>
      </w:tr>
      <w:tr>
        <w:tc>
          <w:tcPr>
            <w:tcW w:type="dxa" w:w="2880"/>
          </w:tcPr>
          <w:p>
            <w:r>
              <w:t>Small</w:t>
            </w:r>
          </w:p>
        </w:tc>
        <w:tc>
          <w:tcPr>
            <w:tcW w:type="dxa" w:w="2880"/>
          </w:tcPr>
          <w:p>
            <w:r>
              <w:t>21.24 seconds</w:t>
            </w:r>
          </w:p>
        </w:tc>
        <w:tc>
          <w:tcPr>
            <w:tcW w:type="dxa" w:w="2880"/>
          </w:tcPr>
          <w:p>
            <w:r>
              <w:t>17.33%</w:t>
            </w:r>
          </w:p>
        </w:tc>
      </w:tr>
    </w:tbl>
    <w:p>
      <w:r>
        <w:br/>
      </w:r>
    </w:p>
    <w:p>
      <w:pPr>
        <w:pStyle w:val="Heading1"/>
      </w:pPr>
      <w:r>
        <w:rPr>
          <w:color w:val="1F4E79"/>
        </w:rPr>
        <w:t>4. Text-to-Speech (TTS) Voice Benchmarks</w:t>
      </w:r>
    </w:p>
    <w:p>
      <w:r>
        <w:t>5 English voices were evaluated using 5 real product text phrases. Average Real-Time Factor (RTF) measures the ratio of synthesis CPU time to audio duration.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Pr>
                <w:b/>
                <w:color w:val="FFFFFF"/>
              </w:rPr>
              <w:t>Voice Model</w:t>
            </w:r>
          </w:p>
        </w:tc>
        <w:tc>
          <w:tcPr>
            <w:tcW w:type="dxa" w:w="2160"/>
            <w:shd w:val="clear" w:color="auto" w:fill="1F4E79"/>
          </w:tcPr>
          <w:p>
            <w:r>
              <w:rPr>
                <w:b/>
                <w:color w:val="FFFFFF"/>
              </w:rPr>
              <w:t>Total Audio Duration</w:t>
            </w:r>
          </w:p>
        </w:tc>
        <w:tc>
          <w:tcPr>
            <w:tcW w:type="dxa" w:w="2160"/>
            <w:shd w:val="clear" w:color="auto" w:fill="1F4E79"/>
          </w:tcPr>
          <w:p>
            <w:r>
              <w:rPr>
                <w:b/>
                <w:color w:val="FFFFFF"/>
              </w:rPr>
              <w:t>Total CPU Synthesis Time</w:t>
            </w:r>
          </w:p>
        </w:tc>
        <w:tc>
          <w:tcPr>
            <w:tcW w:type="dxa" w:w="2160"/>
            <w:shd w:val="clear" w:color="auto" w:fill="1F4E79"/>
          </w:tcPr>
          <w:p>
            <w:r>
              <w:rPr>
                <w:b/>
                <w:color w:val="FFFFFF"/>
              </w:rPr>
              <w:t>Average RTF</w:t>
            </w:r>
          </w:p>
        </w:tc>
      </w:tr>
      <w:tr>
        <w:tc>
          <w:tcPr>
            <w:tcW w:type="dxa" w:w="2160"/>
          </w:tcPr>
          <w:p>
            <w:r>
              <w:t>Amy (Medium)</w:t>
            </w:r>
          </w:p>
        </w:tc>
        <w:tc>
          <w:tcPr>
            <w:tcW w:type="dxa" w:w="2160"/>
          </w:tcPr>
          <w:p>
            <w:r>
              <w:t>22.07s</w:t>
            </w:r>
          </w:p>
        </w:tc>
        <w:tc>
          <w:tcPr>
            <w:tcW w:type="dxa" w:w="2160"/>
          </w:tcPr>
          <w:p>
            <w:r>
              <w:t>4.07s</w:t>
            </w:r>
          </w:p>
        </w:tc>
        <w:tc>
          <w:tcPr>
            <w:tcW w:type="dxa" w:w="2160"/>
          </w:tcPr>
          <w:p>
            <w:r>
              <w:t>0.189</w:t>
            </w:r>
          </w:p>
        </w:tc>
      </w:tr>
      <w:tr>
        <w:tc>
          <w:tcPr>
            <w:tcW w:type="dxa" w:w="2160"/>
            <w:shd w:val="clear" w:color="auto" w:fill="F2F4F7"/>
          </w:tcPr>
          <w:p>
            <w:r>
              <w:t>Joe (Medium)</w:t>
            </w:r>
          </w:p>
        </w:tc>
        <w:tc>
          <w:tcPr>
            <w:tcW w:type="dxa" w:w="2160"/>
            <w:shd w:val="clear" w:color="auto" w:fill="F2F4F7"/>
          </w:tcPr>
          <w:p>
            <w:r>
              <w:t>19.05s</w:t>
            </w:r>
          </w:p>
        </w:tc>
        <w:tc>
          <w:tcPr>
            <w:tcW w:type="dxa" w:w="2160"/>
            <w:shd w:val="clear" w:color="auto" w:fill="F2F4F7"/>
          </w:tcPr>
          <w:p>
            <w:r>
              <w:t>3.78s</w:t>
            </w:r>
          </w:p>
        </w:tc>
        <w:tc>
          <w:tcPr>
            <w:tcW w:type="dxa" w:w="2160"/>
            <w:shd w:val="clear" w:color="auto" w:fill="F2F4F7"/>
          </w:tcPr>
          <w:p>
            <w:r>
              <w:t>0.204</w:t>
            </w:r>
          </w:p>
        </w:tc>
      </w:tr>
      <w:tr>
        <w:tc>
          <w:tcPr>
            <w:tcW w:type="dxa" w:w="2160"/>
          </w:tcPr>
          <w:p>
            <w:r>
              <w:t>Danny (Low)</w:t>
            </w:r>
          </w:p>
        </w:tc>
        <w:tc>
          <w:tcPr>
            <w:tcW w:type="dxa" w:w="2160"/>
          </w:tcPr>
          <w:p>
            <w:r>
              <w:t>17.63s</w:t>
            </w:r>
          </w:p>
        </w:tc>
        <w:tc>
          <w:tcPr>
            <w:tcW w:type="dxa" w:w="2160"/>
          </w:tcPr>
          <w:p>
            <w:r>
              <w:t>3.57s</w:t>
            </w:r>
          </w:p>
        </w:tc>
        <w:tc>
          <w:tcPr>
            <w:tcW w:type="dxa" w:w="2160"/>
          </w:tcPr>
          <w:p>
            <w:r>
              <w:t>0.210</w:t>
            </w:r>
          </w:p>
        </w:tc>
      </w:tr>
      <w:tr>
        <w:tc>
          <w:tcPr>
            <w:tcW w:type="dxa" w:w="2160"/>
            <w:shd w:val="clear" w:color="auto" w:fill="F2F4F7"/>
          </w:tcPr>
          <w:p>
            <w:r>
              <w:t>Lessac (Medium)</w:t>
            </w:r>
          </w:p>
        </w:tc>
        <w:tc>
          <w:tcPr>
            <w:tcW w:type="dxa" w:w="2160"/>
            <w:shd w:val="clear" w:color="auto" w:fill="F2F4F7"/>
          </w:tcPr>
          <w:p>
            <w:r>
              <w:t>18.03s</w:t>
            </w:r>
          </w:p>
        </w:tc>
        <w:tc>
          <w:tcPr>
            <w:tcW w:type="dxa" w:w="2160"/>
            <w:shd w:val="clear" w:color="auto" w:fill="F2F4F7"/>
          </w:tcPr>
          <w:p>
            <w:r>
              <w:t>3.71s</w:t>
            </w:r>
          </w:p>
        </w:tc>
        <w:tc>
          <w:tcPr>
            <w:tcW w:type="dxa" w:w="2160"/>
            <w:shd w:val="clear" w:color="auto" w:fill="F2F4F7"/>
          </w:tcPr>
          <w:p>
            <w:r>
              <w:t>0.211</w:t>
            </w:r>
          </w:p>
        </w:tc>
      </w:tr>
      <w:tr>
        <w:tc>
          <w:tcPr>
            <w:tcW w:type="dxa" w:w="2160"/>
          </w:tcPr>
          <w:p>
            <w:r>
              <w:t>Ryan (Medium)</w:t>
            </w:r>
          </w:p>
        </w:tc>
        <w:tc>
          <w:tcPr>
            <w:tcW w:type="dxa" w:w="2160"/>
          </w:tcPr>
          <w:p>
            <w:r>
              <w:t>17.82s</w:t>
            </w:r>
          </w:p>
        </w:tc>
        <w:tc>
          <w:tcPr>
            <w:tcW w:type="dxa" w:w="2160"/>
          </w:tcPr>
          <w:p>
            <w:r>
              <w:t>3.79s</w:t>
            </w:r>
          </w:p>
        </w:tc>
        <w:tc>
          <w:tcPr>
            <w:tcW w:type="dxa" w:w="2160"/>
          </w:tcPr>
          <w:p>
            <w:r>
              <w:t>0.222</w:t>
            </w:r>
          </w:p>
        </w:tc>
      </w:tr>
    </w:tbl>
    <w:p>
      <w:r>
        <w:br/>
      </w:r>
    </w:p>
    <w:p>
      <w:pPr>
        <w:pStyle w:val="Heading1"/>
      </w:pPr>
      <w:r>
        <w:rPr>
          <w:color w:val="1F4E79"/>
        </w:rPr>
        <w:t>5. Project Next Steps</w:t>
      </w:r>
    </w:p>
    <w:p>
      <w:r>
        <w:t>The immediate milestones following this successful evaluation phase include:</w:t>
      </w:r>
    </w:p>
    <w:p>
      <w:pPr>
        <w:pStyle w:val="ListNumber"/>
      </w:pPr>
      <w:r>
        <w:t>1. Integrate verified loaders (spaCy, Faster-Whisper, Piper) into main services/ layers.</w:t>
      </w:r>
    </w:p>
    <w:p>
      <w:pPr>
        <w:pStyle w:val="ListNumber"/>
      </w:pPr>
      <w:r>
        <w:t>2. Develop the backend skeleton REST endpoints inside backend/ to expose STT, TTS, and NLP engines.</w:t>
      </w:r>
    </w:p>
    <w:p>
      <w:pPr>
        <w:pStyle w:val="ListNumber"/>
      </w:pPr>
      <w:r>
        <w:t>3. Establish cloud integration comparison tests (Deepgram STT &amp; ElevenLabs TTS) to evaluate voice quality side-by-side with local hosting.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