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0D6" w:rsidRDefault="009570D6" w:rsidP="009570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0D6">
        <w:rPr>
          <w:rFonts w:ascii="Times New Roman" w:hAnsi="Times New Roman" w:cs="Times New Roman"/>
          <w:b/>
          <w:bCs/>
          <w:sz w:val="28"/>
          <w:szCs w:val="28"/>
        </w:rPr>
        <w:t>Data Set Information</w:t>
      </w:r>
    </w:p>
    <w:p w:rsidR="009570D6" w:rsidRDefault="009570D6" w:rsidP="00957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0D6">
        <w:rPr>
          <w:rFonts w:ascii="Times New Roman" w:hAnsi="Times New Roman" w:cs="Times New Roman"/>
          <w:b/>
          <w:bCs/>
          <w:sz w:val="24"/>
          <w:szCs w:val="24"/>
        </w:rPr>
        <w:t>A. CSV Dataset - cardiovascular disease dataset</w:t>
      </w:r>
    </w:p>
    <w:p w:rsidR="00D84E4C" w:rsidRPr="00D84E4C" w:rsidRDefault="00D84E4C" w:rsidP="00D50817">
      <w:pPr>
        <w:jc w:val="both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 xml:space="preserve">This dataset offers a comprehensive range of features that include both physiological parameters and lifestyle-related factors, making it highly suitable for developing machine learning models focused on cardiovascular disease prediction. It enables an in-depth evaluation of various risk factors and their impact on cardiovascular health, providing valuable insights for research and analysis. Furthermore, the dataset supports predictive </w:t>
      </w:r>
      <w:r w:rsidRPr="00D84E4C">
        <w:rPr>
          <w:rFonts w:ascii="Times New Roman" w:hAnsi="Times New Roman" w:cs="Times New Roman"/>
          <w:sz w:val="24"/>
          <w:szCs w:val="24"/>
        </w:rPr>
        <w:t>modelling</w:t>
      </w:r>
      <w:r w:rsidRPr="00D84E4C">
        <w:rPr>
          <w:rFonts w:ascii="Times New Roman" w:hAnsi="Times New Roman" w:cs="Times New Roman"/>
          <w:sz w:val="24"/>
          <w:szCs w:val="24"/>
        </w:rPr>
        <w:t xml:space="preserve"> and early detection strategies, contributing to preventive healthcare initiatives and improved patient outcomes.</w:t>
      </w:r>
    </w:p>
    <w:p w:rsidR="00D84E4C" w:rsidRPr="00D84E4C" w:rsidRDefault="00D84E4C" w:rsidP="00D508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 xml:space="preserve">The dataset, sourced from Kaggle and originally published by </w:t>
      </w:r>
      <w:proofErr w:type="spellStart"/>
      <w:r w:rsidRPr="00D84E4C">
        <w:rPr>
          <w:rFonts w:ascii="Times New Roman" w:hAnsi="Times New Roman" w:cs="Times New Roman"/>
          <w:sz w:val="24"/>
          <w:szCs w:val="24"/>
        </w:rPr>
        <w:t>Sulianova</w:t>
      </w:r>
      <w:proofErr w:type="spellEnd"/>
      <w:r w:rsidRPr="00D84E4C">
        <w:rPr>
          <w:rFonts w:ascii="Times New Roman" w:hAnsi="Times New Roman" w:cs="Times New Roman"/>
          <w:sz w:val="24"/>
          <w:szCs w:val="24"/>
        </w:rPr>
        <w:t xml:space="preserve">, is derived from real medical examination data. It contains approximately 70,000 patient records, making it a robust resource for analytical and predictive </w:t>
      </w:r>
      <w:r w:rsidRPr="00D84E4C">
        <w:rPr>
          <w:rFonts w:ascii="Times New Roman" w:hAnsi="Times New Roman" w:cs="Times New Roman"/>
          <w:sz w:val="24"/>
          <w:szCs w:val="24"/>
        </w:rPr>
        <w:t>modelling</w:t>
      </w:r>
      <w:r w:rsidRPr="00D84E4C">
        <w:rPr>
          <w:rFonts w:ascii="Times New Roman" w:hAnsi="Times New Roman" w:cs="Times New Roman"/>
          <w:sz w:val="24"/>
          <w:szCs w:val="24"/>
        </w:rPr>
        <w:t xml:space="preserve">. The primary objective of this dataset is to predict the presence of cardiovascular disease using a binary classification approach. The target variable, </w:t>
      </w:r>
      <w:r w:rsidRPr="00D84E4C">
        <w:rPr>
          <w:rStyle w:val="Strong"/>
          <w:rFonts w:ascii="Times New Roman" w:hAnsi="Times New Roman" w:cs="Times New Roman"/>
          <w:sz w:val="24"/>
          <w:szCs w:val="24"/>
        </w:rPr>
        <w:t>cardio</w:t>
      </w:r>
      <w:r w:rsidRPr="00D84E4C">
        <w:rPr>
          <w:rFonts w:ascii="Times New Roman" w:hAnsi="Times New Roman" w:cs="Times New Roman"/>
          <w:sz w:val="24"/>
          <w:szCs w:val="24"/>
        </w:rPr>
        <w:t xml:space="preserve">, indicates whether a patient has cardiovascular disease — where </w:t>
      </w:r>
      <w:r w:rsidRPr="00D84E4C">
        <w:rPr>
          <w:rStyle w:val="Strong"/>
          <w:rFonts w:ascii="Times New Roman" w:hAnsi="Times New Roman" w:cs="Times New Roman"/>
          <w:sz w:val="24"/>
          <w:szCs w:val="24"/>
        </w:rPr>
        <w:t>0</w:t>
      </w:r>
      <w:r w:rsidRPr="00D84E4C">
        <w:rPr>
          <w:rFonts w:ascii="Times New Roman" w:hAnsi="Times New Roman" w:cs="Times New Roman"/>
          <w:sz w:val="24"/>
          <w:szCs w:val="24"/>
        </w:rPr>
        <w:t xml:space="preserve"> represents a healthy individual and </w:t>
      </w:r>
      <w:r w:rsidRPr="00D84E4C">
        <w:rPr>
          <w:rStyle w:val="Strong"/>
          <w:rFonts w:ascii="Times New Roman" w:hAnsi="Times New Roman" w:cs="Times New Roman"/>
          <w:sz w:val="24"/>
          <w:szCs w:val="24"/>
        </w:rPr>
        <w:t>1</w:t>
      </w:r>
      <w:r w:rsidRPr="00D84E4C">
        <w:rPr>
          <w:rFonts w:ascii="Times New Roman" w:hAnsi="Times New Roman" w:cs="Times New Roman"/>
          <w:sz w:val="24"/>
          <w:szCs w:val="24"/>
        </w:rPr>
        <w:t xml:space="preserve"> denotes the presence of the disease.</w:t>
      </w:r>
    </w:p>
    <w:p w:rsidR="009570D6" w:rsidRPr="009570D6" w:rsidRDefault="009570D6" w:rsidP="009570D6">
      <w:pPr>
        <w:spacing w:line="276" w:lineRule="auto"/>
        <w:rPr>
          <w:rFonts w:ascii="Times New Roman" w:hAnsi="Times New Roman" w:cs="Times New Roman"/>
          <w:b/>
          <w:bCs/>
        </w:rPr>
      </w:pPr>
      <w:r w:rsidRPr="009570D6">
        <w:rPr>
          <w:rFonts w:ascii="Times New Roman" w:hAnsi="Times New Roman" w:cs="Times New Roman"/>
          <w:b/>
          <w:bCs/>
        </w:rPr>
        <w:t>Features: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age – Age in days (needs conversion to years for easier interpretation)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gender – 1: female, 2: male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height – Height in cm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weight – Weight in kg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4E4C">
        <w:rPr>
          <w:rFonts w:ascii="Times New Roman" w:hAnsi="Times New Roman" w:cs="Times New Roman"/>
          <w:sz w:val="24"/>
          <w:szCs w:val="24"/>
        </w:rPr>
        <w:t>ap_hi</w:t>
      </w:r>
      <w:proofErr w:type="spellEnd"/>
      <w:r w:rsidRPr="00D84E4C">
        <w:rPr>
          <w:rFonts w:ascii="Times New Roman" w:hAnsi="Times New Roman" w:cs="Times New Roman"/>
          <w:sz w:val="24"/>
          <w:szCs w:val="24"/>
        </w:rPr>
        <w:t xml:space="preserve"> → Systolic blood pressure (upper value).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4E4C">
        <w:rPr>
          <w:rFonts w:ascii="Times New Roman" w:hAnsi="Times New Roman" w:cs="Times New Roman"/>
          <w:sz w:val="24"/>
          <w:szCs w:val="24"/>
        </w:rPr>
        <w:t>ap_lo</w:t>
      </w:r>
      <w:proofErr w:type="spellEnd"/>
      <w:r w:rsidRPr="00D84E4C">
        <w:rPr>
          <w:rFonts w:ascii="Times New Roman" w:hAnsi="Times New Roman" w:cs="Times New Roman"/>
          <w:sz w:val="24"/>
          <w:szCs w:val="24"/>
        </w:rPr>
        <w:t xml:space="preserve"> → Diastolic blood pressure (lower value).</w:t>
      </w:r>
    </w:p>
    <w:p w:rsidR="009570D6" w:rsidRPr="00D84E4C" w:rsidRDefault="009570D6" w:rsidP="009570D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Note: The dataset has some unrealistic values (e.g., negative or extremely high blood pressure), so cleaning is necessary.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cholesterol → Categorical variable:</w:t>
      </w:r>
    </w:p>
    <w:p w:rsidR="009570D6" w:rsidRPr="00D84E4C" w:rsidRDefault="009570D6" w:rsidP="009570D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1 = Normal, 2 = Above normal, 3 = Well above normal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4E4C">
        <w:rPr>
          <w:rFonts w:ascii="Times New Roman" w:hAnsi="Times New Roman" w:cs="Times New Roman"/>
          <w:sz w:val="24"/>
          <w:szCs w:val="24"/>
        </w:rPr>
        <w:t>gluc</w:t>
      </w:r>
      <w:proofErr w:type="spellEnd"/>
      <w:r w:rsidRPr="00D84E4C">
        <w:rPr>
          <w:rFonts w:ascii="Times New Roman" w:hAnsi="Times New Roman" w:cs="Times New Roman"/>
          <w:sz w:val="24"/>
          <w:szCs w:val="24"/>
        </w:rPr>
        <w:t xml:space="preserve"> → Glucose level:</w:t>
      </w:r>
    </w:p>
    <w:p w:rsidR="009570D6" w:rsidRPr="00D84E4C" w:rsidRDefault="009570D6" w:rsidP="009570D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1 = Normal, 2 = Above normal, 3 = Well above normal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smoke – Binary (0: non-smoker, 1: smoker)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alco – Binary (0: doesn’t drink, 1: drinks alcohol)</w:t>
      </w:r>
    </w:p>
    <w:p w:rsidR="009570D6" w:rsidRPr="00D84E4C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active – Binary (0: not active, 1: physically active)</w:t>
      </w:r>
    </w:p>
    <w:p w:rsidR="009570D6" w:rsidRDefault="009570D6" w:rsidP="009570D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4E4C">
        <w:rPr>
          <w:rFonts w:ascii="Times New Roman" w:hAnsi="Times New Roman" w:cs="Times New Roman"/>
          <w:sz w:val="24"/>
          <w:szCs w:val="24"/>
        </w:rPr>
        <w:t>cardio – Target (0: no disease, 1: has disease)</w:t>
      </w:r>
    </w:p>
    <w:p w:rsidR="00D84E4C" w:rsidRDefault="00D84E4C" w:rsidP="00D84E4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4E4C" w:rsidRDefault="00D84E4C" w:rsidP="00D84E4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4E4C" w:rsidRPr="00D50817" w:rsidRDefault="00D84E4C" w:rsidP="00D50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817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Image Dataset – Cardiovascular Classificiation</w:t>
      </w:r>
    </w:p>
    <w:p w:rsidR="00D50817" w:rsidRPr="00D50817" w:rsidRDefault="00D50817" w:rsidP="00D50817">
      <w:pPr>
        <w:jc w:val="both"/>
        <w:rPr>
          <w:rFonts w:ascii="Times New Roman" w:hAnsi="Times New Roman" w:cs="Times New Roman"/>
          <w:sz w:val="24"/>
          <w:szCs w:val="24"/>
        </w:rPr>
      </w:pPr>
      <w:r w:rsidRPr="00D50817">
        <w:rPr>
          <w:rFonts w:ascii="Times New Roman" w:hAnsi="Times New Roman" w:cs="Times New Roman"/>
          <w:sz w:val="24"/>
          <w:szCs w:val="24"/>
        </w:rPr>
        <w:t xml:space="preserve">The ACDC dataset categorizes patients into five groups based on specific heart conditions: </w:t>
      </w:r>
      <w:r w:rsidRPr="00D50817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D50817">
        <w:rPr>
          <w:rFonts w:ascii="Times New Roman" w:hAnsi="Times New Roman" w:cs="Times New Roman"/>
          <w:sz w:val="24"/>
          <w:szCs w:val="24"/>
        </w:rPr>
        <w:t xml:space="preserve">, representing individuals with healthy hearts; </w:t>
      </w:r>
      <w:r w:rsidRPr="00D50817">
        <w:rPr>
          <w:rFonts w:ascii="Times New Roman" w:hAnsi="Times New Roman" w:cs="Times New Roman"/>
          <w:b/>
          <w:bCs/>
          <w:sz w:val="24"/>
          <w:szCs w:val="24"/>
        </w:rPr>
        <w:t>Myocardial Infarction (MI)</w:t>
      </w:r>
      <w:r w:rsidRPr="00D50817">
        <w:rPr>
          <w:rFonts w:ascii="Times New Roman" w:hAnsi="Times New Roman" w:cs="Times New Roman"/>
          <w:sz w:val="24"/>
          <w:szCs w:val="24"/>
        </w:rPr>
        <w:t xml:space="preserve">, referring to patients who have experienced a heart attack resulting in partial damage to the heart muscle; </w:t>
      </w:r>
      <w:r w:rsidRPr="00D50817">
        <w:rPr>
          <w:rFonts w:ascii="Times New Roman" w:hAnsi="Times New Roman" w:cs="Times New Roman"/>
          <w:b/>
          <w:bCs/>
          <w:sz w:val="24"/>
          <w:szCs w:val="24"/>
        </w:rPr>
        <w:t>Dilated Cardiomyopathy (DCM)</w:t>
      </w:r>
      <w:r w:rsidRPr="00D50817">
        <w:rPr>
          <w:rFonts w:ascii="Times New Roman" w:hAnsi="Times New Roman" w:cs="Times New Roman"/>
          <w:sz w:val="24"/>
          <w:szCs w:val="24"/>
        </w:rPr>
        <w:t xml:space="preserve">, where the heart—particularly the left ventricle—is enlarged and weakened; </w:t>
      </w:r>
      <w:r w:rsidRPr="00D50817">
        <w:rPr>
          <w:rFonts w:ascii="Times New Roman" w:hAnsi="Times New Roman" w:cs="Times New Roman"/>
          <w:b/>
          <w:bCs/>
          <w:sz w:val="24"/>
          <w:szCs w:val="24"/>
        </w:rPr>
        <w:t>Hypertrophic Cardiomyopathy (HCM)</w:t>
      </w:r>
      <w:r w:rsidRPr="00D50817">
        <w:rPr>
          <w:rFonts w:ascii="Times New Roman" w:hAnsi="Times New Roman" w:cs="Times New Roman"/>
          <w:sz w:val="24"/>
          <w:szCs w:val="24"/>
        </w:rPr>
        <w:t xml:space="preserve">, characterized by abnormally thickened walls of the left ventricle; and </w:t>
      </w:r>
      <w:r w:rsidRPr="00D50817">
        <w:rPr>
          <w:rFonts w:ascii="Times New Roman" w:hAnsi="Times New Roman" w:cs="Times New Roman"/>
          <w:b/>
          <w:bCs/>
          <w:sz w:val="24"/>
          <w:szCs w:val="24"/>
        </w:rPr>
        <w:t>Abnormal Right Ventricle (ARV)</w:t>
      </w:r>
      <w:r w:rsidRPr="00D50817">
        <w:rPr>
          <w:rFonts w:ascii="Times New Roman" w:hAnsi="Times New Roman" w:cs="Times New Roman"/>
          <w:sz w:val="24"/>
          <w:szCs w:val="24"/>
        </w:rPr>
        <w:t>, involving an enlarged or dysfunctional right ventricle.</w:t>
      </w:r>
    </w:p>
    <w:p w:rsidR="00D50817" w:rsidRPr="00D50817" w:rsidRDefault="00D50817" w:rsidP="00D50817">
      <w:pPr>
        <w:jc w:val="both"/>
        <w:rPr>
          <w:rFonts w:ascii="Times New Roman" w:hAnsi="Times New Roman" w:cs="Times New Roman"/>
          <w:sz w:val="24"/>
          <w:szCs w:val="24"/>
        </w:rPr>
      </w:pPr>
      <w:r w:rsidRPr="00D50817">
        <w:rPr>
          <w:rFonts w:ascii="Times New Roman" w:hAnsi="Times New Roman" w:cs="Times New Roman"/>
          <w:sz w:val="24"/>
          <w:szCs w:val="24"/>
        </w:rPr>
        <w:t xml:space="preserve">The dataset’s segmentation masks include three distinct anatomical regions: the </w:t>
      </w:r>
      <w:r w:rsidRPr="00D50817">
        <w:rPr>
          <w:rFonts w:ascii="Times New Roman" w:hAnsi="Times New Roman" w:cs="Times New Roman"/>
          <w:b/>
          <w:bCs/>
          <w:sz w:val="24"/>
          <w:szCs w:val="24"/>
        </w:rPr>
        <w:t>Left Ventricle (LV)</w:t>
      </w:r>
      <w:r w:rsidRPr="00D50817">
        <w:rPr>
          <w:rFonts w:ascii="Times New Roman" w:hAnsi="Times New Roman" w:cs="Times New Roman"/>
          <w:sz w:val="24"/>
          <w:szCs w:val="24"/>
        </w:rPr>
        <w:t xml:space="preserve">, which serves as the main pumping chamber; the </w:t>
      </w:r>
      <w:r w:rsidRPr="00D50817">
        <w:rPr>
          <w:rFonts w:ascii="Times New Roman" w:hAnsi="Times New Roman" w:cs="Times New Roman"/>
          <w:b/>
          <w:bCs/>
          <w:sz w:val="24"/>
          <w:szCs w:val="24"/>
        </w:rPr>
        <w:t>Right Ventricle (RV)</w:t>
      </w:r>
      <w:r w:rsidRPr="00D50817">
        <w:rPr>
          <w:rFonts w:ascii="Times New Roman" w:hAnsi="Times New Roman" w:cs="Times New Roman"/>
          <w:sz w:val="24"/>
          <w:szCs w:val="24"/>
        </w:rPr>
        <w:t xml:space="preserve">, responsible for pumping blood to the lungs; and the </w:t>
      </w:r>
      <w:r w:rsidRPr="00D50817">
        <w:rPr>
          <w:rFonts w:ascii="Times New Roman" w:hAnsi="Times New Roman" w:cs="Times New Roman"/>
          <w:b/>
          <w:bCs/>
          <w:sz w:val="24"/>
          <w:szCs w:val="24"/>
        </w:rPr>
        <w:t>Myocardium (MYO)</w:t>
      </w:r>
      <w:r w:rsidRPr="00D50817">
        <w:rPr>
          <w:rFonts w:ascii="Times New Roman" w:hAnsi="Times New Roman" w:cs="Times New Roman"/>
          <w:sz w:val="24"/>
          <w:szCs w:val="24"/>
        </w:rPr>
        <w:t>, the thick muscular layer of the heart wall.</w:t>
      </w:r>
    </w:p>
    <w:p w:rsidR="00D50817" w:rsidRDefault="00D50817" w:rsidP="00D50817">
      <w:pPr>
        <w:jc w:val="both"/>
        <w:rPr>
          <w:rFonts w:ascii="Times New Roman" w:hAnsi="Times New Roman" w:cs="Times New Roman"/>
          <w:sz w:val="24"/>
          <w:szCs w:val="24"/>
        </w:rPr>
      </w:pPr>
      <w:r w:rsidRPr="00D50817">
        <w:rPr>
          <w:rFonts w:ascii="Times New Roman" w:hAnsi="Times New Roman" w:cs="Times New Roman"/>
          <w:sz w:val="24"/>
          <w:szCs w:val="24"/>
        </w:rPr>
        <w:t>Additionally, the data captures two key cardiac phases—</w:t>
      </w:r>
      <w:r w:rsidRPr="00D50817">
        <w:rPr>
          <w:rFonts w:ascii="Times New Roman" w:hAnsi="Times New Roman" w:cs="Times New Roman"/>
          <w:b/>
          <w:bCs/>
          <w:sz w:val="24"/>
          <w:szCs w:val="24"/>
        </w:rPr>
        <w:t>End-Diastole (ED)</w:t>
      </w:r>
      <w:r w:rsidRPr="00D50817">
        <w:rPr>
          <w:rFonts w:ascii="Times New Roman" w:hAnsi="Times New Roman" w:cs="Times New Roman"/>
          <w:sz w:val="24"/>
          <w:szCs w:val="24"/>
        </w:rPr>
        <w:t xml:space="preserve">, when the heart chambers are filled with blood, and </w:t>
      </w:r>
      <w:r w:rsidRPr="00D50817">
        <w:rPr>
          <w:rFonts w:ascii="Times New Roman" w:hAnsi="Times New Roman" w:cs="Times New Roman"/>
          <w:b/>
          <w:bCs/>
          <w:sz w:val="24"/>
          <w:szCs w:val="24"/>
        </w:rPr>
        <w:t>End-Systole (ES)</w:t>
      </w:r>
      <w:r w:rsidRPr="00D50817">
        <w:rPr>
          <w:rFonts w:ascii="Times New Roman" w:hAnsi="Times New Roman" w:cs="Times New Roman"/>
          <w:sz w:val="24"/>
          <w:szCs w:val="24"/>
        </w:rPr>
        <w:t>, when the heart contracts to pump blood out.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3"/>
        <w:gridCol w:w="5823"/>
      </w:tblGrid>
      <w:tr w:rsidR="00D50817" w:rsidTr="00D5081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17" w:rsidRDefault="00D50817">
            <w:pPr>
              <w:spacing w:after="0" w:line="276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1797050" cy="1727200"/>
                  <wp:effectExtent l="0" t="0" r="0" b="6350"/>
                  <wp:docPr id="16322462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817" w:rsidRDefault="00D5081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patient101_4d.nii.gz</w:t>
            </w:r>
          </w:p>
          <w:p w:rsidR="00D50817" w:rsidRDefault="00D50817">
            <w:pPr>
              <w:spacing w:line="276" w:lineRule="auto"/>
              <w:rPr>
                <w:b/>
                <w:bCs/>
              </w:rPr>
            </w:pPr>
          </w:p>
          <w:p w:rsidR="00D50817" w:rsidRDefault="00D50817" w:rsidP="00D50817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This is a 4D MRI file (3D + time).</w:t>
            </w:r>
          </w:p>
          <w:p w:rsidR="00D50817" w:rsidRDefault="00D50817" w:rsidP="00D50817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It stores the full cine sequence (multiple time frames of the beating heart across the cardiac cycle).</w:t>
            </w:r>
          </w:p>
          <w:p w:rsidR="00D50817" w:rsidRDefault="00D50817" w:rsidP="00D50817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Typically, ~20–30 frames per cardiac cycle.</w:t>
            </w:r>
          </w:p>
          <w:p w:rsidR="00D50817" w:rsidRDefault="00D50817">
            <w:pPr>
              <w:spacing w:line="276" w:lineRule="auto"/>
              <w:rPr>
                <w:b/>
                <w:bCs/>
              </w:rPr>
            </w:pPr>
          </w:p>
        </w:tc>
      </w:tr>
      <w:tr w:rsidR="00D50817" w:rsidTr="00D5081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17" w:rsidRDefault="00D508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71650" cy="1708150"/>
                  <wp:effectExtent l="0" t="0" r="0" b="6350"/>
                  <wp:docPr id="3355317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817" w:rsidRDefault="00D5081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patient101_frame01.nii.gz</w:t>
            </w:r>
          </w:p>
          <w:p w:rsidR="00D50817" w:rsidRDefault="00D50817">
            <w:pPr>
              <w:spacing w:line="276" w:lineRule="auto"/>
            </w:pPr>
          </w:p>
          <w:p w:rsidR="00D50817" w:rsidRDefault="00D50817" w:rsidP="00D50817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This is the </w:t>
            </w:r>
            <w:r>
              <w:rPr>
                <w:b/>
                <w:bCs/>
              </w:rPr>
              <w:t>first frame</w:t>
            </w:r>
            <w:r>
              <w:t xml:space="preserve"> of the 4D sequence (a single 3D volume).</w:t>
            </w:r>
          </w:p>
          <w:p w:rsidR="00D50817" w:rsidRDefault="00D50817" w:rsidP="00D50817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Usually corresponds to </w:t>
            </w:r>
            <w:r>
              <w:rPr>
                <w:b/>
                <w:bCs/>
              </w:rPr>
              <w:t>End-Diastole (ED)</w:t>
            </w:r>
            <w:r>
              <w:t xml:space="preserve"> — when the heart is fully relaxed and filled with blood.</w:t>
            </w:r>
          </w:p>
          <w:p w:rsidR="00D50817" w:rsidRDefault="00D50817">
            <w:pPr>
              <w:spacing w:line="276" w:lineRule="auto"/>
              <w:rPr>
                <w:b/>
                <w:bCs/>
              </w:rPr>
            </w:pPr>
          </w:p>
        </w:tc>
      </w:tr>
      <w:tr w:rsidR="00D50817" w:rsidTr="00D5081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17" w:rsidRDefault="00D508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71650" cy="1701800"/>
                  <wp:effectExtent l="0" t="0" r="0" b="0"/>
                  <wp:docPr id="911319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817" w:rsidRDefault="00D5081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patient101_frame14.nii.gz</w:t>
            </w:r>
          </w:p>
          <w:p w:rsidR="00D50817" w:rsidRDefault="00D50817">
            <w:pPr>
              <w:spacing w:line="276" w:lineRule="auto"/>
            </w:pPr>
          </w:p>
          <w:p w:rsidR="00D50817" w:rsidRDefault="00D50817" w:rsidP="00D5081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This is another single 3D frame (later in the sequence).</w:t>
            </w:r>
          </w:p>
          <w:p w:rsidR="00D50817" w:rsidRDefault="00D50817" w:rsidP="00D5081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Often corresponds to </w:t>
            </w:r>
            <w:r>
              <w:rPr>
                <w:b/>
                <w:bCs/>
              </w:rPr>
              <w:t>End-Systole (ES)</w:t>
            </w:r>
            <w:r>
              <w:t xml:space="preserve"> — when the heart is fully contracted and has ejected blood.</w:t>
            </w:r>
          </w:p>
          <w:p w:rsidR="00D50817" w:rsidRDefault="00D50817">
            <w:pPr>
              <w:spacing w:line="276" w:lineRule="auto"/>
              <w:rPr>
                <w:b/>
                <w:bCs/>
              </w:rPr>
            </w:pPr>
          </w:p>
        </w:tc>
      </w:tr>
    </w:tbl>
    <w:p w:rsidR="00D50817" w:rsidRPr="00D50817" w:rsidRDefault="00D50817" w:rsidP="00D508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0817" w:rsidRPr="00D5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83C"/>
    <w:multiLevelType w:val="multilevel"/>
    <w:tmpl w:val="1DFA46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5010702"/>
    <w:multiLevelType w:val="multilevel"/>
    <w:tmpl w:val="24B6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2182A"/>
    <w:multiLevelType w:val="hybridMultilevel"/>
    <w:tmpl w:val="7B12D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2337C"/>
    <w:multiLevelType w:val="hybridMultilevel"/>
    <w:tmpl w:val="C28C2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96CC2"/>
    <w:multiLevelType w:val="multilevel"/>
    <w:tmpl w:val="53F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12E1"/>
    <w:multiLevelType w:val="multilevel"/>
    <w:tmpl w:val="365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35A15"/>
    <w:multiLevelType w:val="multilevel"/>
    <w:tmpl w:val="1DFA46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9481548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785214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317868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246104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71027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281251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233968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D6"/>
    <w:rsid w:val="009570D6"/>
    <w:rsid w:val="00D50817"/>
    <w:rsid w:val="00D8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D785"/>
  <w15:chartTrackingRefBased/>
  <w15:docId w15:val="{821B4CB6-DBCF-4789-97B0-F70F6FE5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D6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4E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D508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seemareema2002@gmail.com</dc:creator>
  <cp:keywords/>
  <dc:description/>
  <cp:lastModifiedBy>seemareema2002@gmail.com</cp:lastModifiedBy>
  <cp:revision>1</cp:revision>
  <dcterms:created xsi:type="dcterms:W3CDTF">2025-10-10T20:23:00Z</dcterms:created>
  <dcterms:modified xsi:type="dcterms:W3CDTF">2025-10-10T20:53:00Z</dcterms:modified>
</cp:coreProperties>
</file>