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120" w:line="283" w:lineRule="auto"/>
      </w:pPr>
      <w:r>
        <w:rPr>
          <w:rFonts w:ascii="Arial" w:hAnsi="Arial"/>
          <w:b/>
          <w:i w:val="0"/>
          <w:color w:val="D95A67"/>
          <w:sz w:val="22"/>
        </w:rPr>
        <w:t>MONAD ARENAX</w:t>
      </w:r>
    </w:p>
    <w:p>
      <w:pPr>
        <w:spacing w:before="0" w:after="180" w:line="283" w:lineRule="auto"/>
      </w:pPr>
      <w:r>
        <w:rPr>
          <w:rFonts w:ascii="Arial" w:hAnsi="Arial"/>
          <w:b/>
          <w:i w:val="0"/>
          <w:color w:val="292239"/>
          <w:sz w:val="60"/>
        </w:rPr>
        <w:t>Workflows &amp;</w:t>
        <w:br/>
        <w:t>Architecture</w:t>
      </w:r>
    </w:p>
    <w:p>
      <w:pPr>
        <w:spacing w:before="0" w:after="280" w:line="283" w:lineRule="auto"/>
      </w:pPr>
      <w:r>
        <w:rPr>
          <w:rFonts w:ascii="Arial" w:hAnsi="Arial"/>
          <w:b/>
          <w:i w:val="0"/>
          <w:color w:val="7456A1"/>
          <w:sz w:val="28"/>
        </w:rPr>
        <w:t>A complete visual design pack for the Monad-first prediction exchange</w:t>
      </w:r>
    </w:p>
    <w:p>
      <w:pPr>
        <w:spacing w:before="0" w:after="440" w:line="283" w:lineRule="auto"/>
      </w:pPr>
      <w:r>
        <w:rPr>
          <w:rFonts w:ascii="Arial" w:hAnsi="Arial"/>
          <w:b w:val="0"/>
          <w:i w:val="0"/>
          <w:color w:val="73677E"/>
          <w:sz w:val="21"/>
        </w:rPr>
        <w:t>Hackathon testnet edition  |  Chain ID 10143  |  May 31, 2026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E3FF"/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7456A1"/>
                <w:sz w:val="18"/>
              </w:rPr>
              <w:t>DESIGN INTENT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92239"/>
                <w:sz w:val="20"/>
              </w:rPr>
              <w:t>Pastel translucent diagrams, operationally precise workflows, and one all-inclusive system map. Every value-moving path remains testnet-only and every AI action remains advisory until the user signs.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E8F8"/>
          </w:tcPr>
          <w:p>
            <w:r>
              <w:rPr>
                <w:rFonts w:ascii="Arial" w:hAnsi="Arial"/>
                <w:b/>
                <w:i w:val="0"/>
                <w:color w:val="292239"/>
                <w:sz w:val="18"/>
              </w:rPr>
              <w:t>DOCUMENT MAP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E8F8"/>
          </w:tcPr>
          <w:p>
            <w:r>
              <w:rPr>
                <w:rFonts w:ascii="Arial" w:hAnsi="Arial"/>
                <w:b/>
                <w:i w:val="0"/>
                <w:color w:val="292239"/>
                <w:sz w:val="18"/>
              </w:rPr>
              <w:t>COVERAGE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92239"/>
                <w:sz w:val="18"/>
              </w:rPr>
              <w:t>System map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92239"/>
                <w:sz w:val="18"/>
              </w:rPr>
              <w:t>Frontend, services, Monad contracts, events, safety modes, fallback</w:t>
            </w:r>
          </w:p>
        </w:tc>
      </w:tr>
      <w:tr>
        <w:tc>
          <w:tcPr>
            <w:tcW w:type="dxa" w:w="22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92239"/>
                <w:sz w:val="18"/>
              </w:rPr>
              <w:t>Product workflows</w:t>
            </w:r>
          </w:p>
        </w:tc>
        <w:tc>
          <w:tcPr>
            <w:tcW w:type="dxa" w:w="716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92239"/>
                <w:sz w:val="18"/>
              </w:rPr>
              <w:t>Discovery, trading, Pro Exchange, parlay NFTs, oracle, AI, LP, creator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92239"/>
                <w:sz w:val="18"/>
              </w:rPr>
              <w:t>Operations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92239"/>
                <w:sz w:val="18"/>
              </w:rPr>
              <w:t>Indexer reads, matcher health, runtime modes, verification</w:t>
            </w:r>
          </w:p>
        </w:tc>
      </w:tr>
    </w:tbl>
    <w:p>
      <w:pPr>
        <w:spacing w:after="60"/>
      </w:pPr>
    </w:p>
    <w:p>
      <w:pPr>
        <w:spacing w:before="120" w:after="100" w:line="283" w:lineRule="auto"/>
      </w:pPr>
      <w:r>
        <w:rPr>
          <w:rFonts w:ascii="Arial" w:hAnsi="Arial"/>
          <w:b w:val="0"/>
          <w:i/>
          <w:color w:val="73677E"/>
          <w:sz w:val="21"/>
        </w:rPr>
        <w:t>Prepared for hackathon judges, technical reviewers, and product walkthroughs.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i w:val="0"/>
          <w:color w:val="D95A67"/>
          <w:sz w:val="32"/>
        </w:rPr>
        <w:t>1. Executive Architecture Map</w:t>
      </w:r>
    </w:p>
    <w:p>
      <w:pPr>
        <w:spacing w:before="0" w:after="100" w:line="283" w:lineRule="auto"/>
      </w:pPr>
      <w:r>
        <w:rPr>
          <w:rFonts w:ascii="Arial" w:hAnsi="Arial"/>
          <w:b w:val="0"/>
          <w:i w:val="0"/>
          <w:color w:val="292239"/>
          <w:sz w:val="21"/>
        </w:rPr>
        <w:t>The map below is the one inclusive reference for the complete ArenaX system. Read left to right: user-facing product surfaces, supporting application services, Monad testnet protocol modules, indexed reads, and the safety envelope.</w:t>
      </w:r>
    </w:p>
    <w:p>
      <w:r>
        <w:drawing>
          <wp:inline xmlns:a="http://schemas.openxmlformats.org/drawingml/2006/main" xmlns:pic="http://schemas.openxmlformats.org/drawingml/2006/picture">
            <wp:extent cx="5925312" cy="3818534"/>
            <wp:docPr id="1" name="Picture 1" descr="All-inclusive Monad ArenaX architecture showing experience surfaces, application services, Monad testnet contracts, indexed events, and safety modes." title="All-inclusive Monad ArenaX architecture showing experience surfaces, application services, Monad testnet contracts, indexed events, and safety mod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ll-inclusive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5312" cy="3818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83" w:lineRule="auto"/>
      </w:pPr>
      <w:r>
        <w:rPr>
          <w:rFonts w:ascii="Arial" w:hAnsi="Arial"/>
          <w:b w:val="0"/>
          <w:i/>
          <w:color w:val="73677E"/>
          <w:sz w:val="17"/>
        </w:rPr>
        <w:t>Figure 1. All-inclusive Monad ArenaX architecture.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DF5E5"/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2D7B50"/>
                <w:sz w:val="18"/>
              </w:rPr>
              <w:t>NON-NEGOTIABLE BOUNDARY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92239"/>
                <w:sz w:val="20"/>
              </w:rPr>
              <w:t>The matcher never custodies user funds. AI never places an order. Deterministic contract math and explicit wallet approval remain authoritative.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i w:val="0"/>
          <w:color w:val="D95A67"/>
          <w:sz w:val="32"/>
        </w:rPr>
        <w:t>2. End-to-End Product Journey</w:t>
      </w:r>
    </w:p>
    <w:p>
      <w:pPr>
        <w:spacing w:before="0" w:after="100" w:line="283" w:lineRule="auto"/>
      </w:pPr>
      <w:r>
        <w:rPr>
          <w:rFonts w:ascii="Arial" w:hAnsi="Arial"/>
          <w:b w:val="0"/>
          <w:i w:val="0"/>
          <w:color w:val="292239"/>
          <w:sz w:val="21"/>
        </w:rPr>
        <w:t>The product experience is structured as one continuous testnet journey. It begins with the branded Arena launch, then moves through discovery, review-first pricing, wallet approval, portfolio management, oracle resolution, and indexed confirmation.</w:t>
      </w:r>
    </w:p>
    <w:p>
      <w:r>
        <w:drawing>
          <wp:inline xmlns:a="http://schemas.openxmlformats.org/drawingml/2006/main" xmlns:pic="http://schemas.openxmlformats.org/drawingml/2006/picture">
            <wp:extent cx="5925312" cy="3028493"/>
            <wp:docPr id="2" name="Picture 2" descr="End-to-End Product Journey" title="End-to-End Product Journe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user-lifecyc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5312" cy="3028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3" w:lineRule="auto"/>
      </w:pPr>
      <w:r>
        <w:rPr>
          <w:rFonts w:ascii="Arial" w:hAnsi="Arial"/>
          <w:b w:val="0"/>
          <w:i/>
          <w:color w:val="73677E"/>
          <w:sz w:val="17"/>
        </w:rPr>
        <w:t>Figure 2. End-to-End Product Journey.</w:t>
      </w:r>
    </w:p>
    <w:p>
      <w:pPr>
        <w:pStyle w:val="ListBullet"/>
        <w:spacing w:after="60" w:line="283" w:lineRule="auto"/>
        <w:ind w:left="540" w:hanging="271"/>
      </w:pPr>
      <w:r>
        <w:rPr>
          <w:rFonts w:ascii="Arial" w:hAnsi="Arial"/>
          <w:b w:val="0"/>
          <w:i w:val="0"/>
          <w:color w:val="292239"/>
          <w:sz w:val="20"/>
        </w:rPr>
        <w:t>The Arena view opens first so judges see the usable prediction exchange immediately.</w:t>
      </w:r>
    </w:p>
    <w:p>
      <w:pPr>
        <w:pStyle w:val="ListBullet"/>
        <w:spacing w:after="60" w:line="283" w:lineRule="auto"/>
        <w:ind w:left="540" w:hanging="271"/>
      </w:pPr>
      <w:r>
        <w:rPr>
          <w:rFonts w:ascii="Arial" w:hAnsi="Arial"/>
          <w:b w:val="0"/>
          <w:i w:val="0"/>
          <w:color w:val="292239"/>
          <w:sz w:val="20"/>
        </w:rPr>
        <w:t>Quick picks prepare a transparent ticket; they do not submit a transaction.</w:t>
      </w:r>
    </w:p>
    <w:p>
      <w:pPr>
        <w:pStyle w:val="ListBullet"/>
        <w:spacing w:after="60" w:line="283" w:lineRule="auto"/>
        <w:ind w:left="540" w:hanging="271"/>
      </w:pPr>
      <w:r>
        <w:rPr>
          <w:rFonts w:ascii="Arial" w:hAnsi="Arial"/>
          <w:b w:val="0"/>
          <w:i w:val="0"/>
          <w:color w:val="292239"/>
          <w:sz w:val="20"/>
        </w:rPr>
        <w:t>The finality timeline distinguishes submitted, proposed, finalized, and indexed states.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i w:val="0"/>
          <w:color w:val="D95A67"/>
          <w:sz w:val="32"/>
        </w:rPr>
        <w:t>3. AMM and Pro Exchange Execution</w:t>
      </w:r>
    </w:p>
    <w:p>
      <w:pPr>
        <w:spacing w:before="0" w:after="100" w:line="283" w:lineRule="auto"/>
      </w:pPr>
      <w:r>
        <w:rPr>
          <w:rFonts w:ascii="Arial" w:hAnsi="Arial"/>
          <w:b w:val="0"/>
          <w:i w:val="0"/>
          <w:color w:val="292239"/>
          <w:sz w:val="21"/>
        </w:rPr>
        <w:t>ArenaX supports a simple AMM path and a professional signed-order path. Both are non-custodial, visible to the user, and settled on Monad testnet.</w:t>
      </w:r>
    </w:p>
    <w:p>
      <w:r>
        <w:drawing>
          <wp:inline xmlns:a="http://schemas.openxmlformats.org/drawingml/2006/main" xmlns:pic="http://schemas.openxmlformats.org/drawingml/2006/picture">
            <wp:extent cx="5925312" cy="3127248"/>
            <wp:docPr id="3" name="Picture 3" descr="AMM and Pro Exchange Execution" title="AMM and Pro Exchange Execu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trade-rout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5312" cy="3127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3" w:lineRule="auto"/>
      </w:pPr>
      <w:r>
        <w:rPr>
          <w:rFonts w:ascii="Arial" w:hAnsi="Arial"/>
          <w:b w:val="0"/>
          <w:i/>
          <w:color w:val="73677E"/>
          <w:sz w:val="17"/>
        </w:rPr>
        <w:t>Figure 3. AMM and Pro Exchange Execution.</w:t>
      </w:r>
    </w:p>
    <w:p>
      <w:pPr>
        <w:pStyle w:val="ListBullet"/>
        <w:spacing w:after="60" w:line="283" w:lineRule="auto"/>
        <w:ind w:left="540" w:hanging="271"/>
      </w:pPr>
      <w:r>
        <w:rPr>
          <w:rFonts w:ascii="Arial" w:hAnsi="Arial"/>
          <w:b w:val="0"/>
          <w:i w:val="0"/>
          <w:color w:val="292239"/>
          <w:sz w:val="20"/>
        </w:rPr>
        <w:t>AMM trades move outcome-share probabilities and forward creator-aware fees.</w:t>
      </w:r>
    </w:p>
    <w:p>
      <w:pPr>
        <w:pStyle w:val="ListBullet"/>
        <w:spacing w:after="60" w:line="283" w:lineRule="auto"/>
        <w:ind w:left="540" w:hanging="271"/>
      </w:pPr>
      <w:r>
        <w:rPr>
          <w:rFonts w:ascii="Arial" w:hAnsi="Arial"/>
          <w:b w:val="0"/>
          <w:i w:val="0"/>
          <w:color w:val="292239"/>
          <w:sz w:val="20"/>
        </w:rPr>
        <w:t>The smart router can preview AMM/CLOB splits, impact, expiry, and route hash.</w:t>
      </w:r>
    </w:p>
    <w:p>
      <w:pPr>
        <w:pStyle w:val="ListBullet"/>
        <w:spacing w:after="60" w:line="283" w:lineRule="auto"/>
        <w:ind w:left="540" w:hanging="271"/>
      </w:pPr>
      <w:r>
        <w:rPr>
          <w:rFonts w:ascii="Arial" w:hAnsi="Arial"/>
          <w:b w:val="0"/>
          <w:i w:val="0"/>
          <w:color w:val="292239"/>
          <w:sz w:val="20"/>
        </w:rPr>
        <w:t>The matcher validates time-in-force, nonce, tick size, reservations, and sports locks before it creates a settlement intent.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i w:val="0"/>
          <w:color w:val="D95A67"/>
          <w:sz w:val="32"/>
        </w:rPr>
        <w:t>4. Parlay NFT Cashout and Hedge</w:t>
      </w:r>
    </w:p>
    <w:p>
      <w:pPr>
        <w:spacing w:before="0" w:after="100" w:line="283" w:lineRule="auto"/>
      </w:pPr>
      <w:r>
        <w:rPr>
          <w:rFonts w:ascii="Arial" w:hAnsi="Arial"/>
          <w:b w:val="0"/>
          <w:i w:val="0"/>
          <w:color w:val="292239"/>
          <w:sz w:val="21"/>
        </w:rPr>
        <w:t>Parlays are transferable ERC-721 positions. The contract reserves liability before minting and computes early exits from deterministic AMM probabilities.</w:t>
      </w:r>
    </w:p>
    <w:p>
      <w:r>
        <w:drawing>
          <wp:inline xmlns:a="http://schemas.openxmlformats.org/drawingml/2006/main" xmlns:pic="http://schemas.openxmlformats.org/drawingml/2006/picture">
            <wp:extent cx="5925312" cy="2962656"/>
            <wp:docPr id="4" name="Picture 4" descr="Parlay NFT Cashout and Hedge" title="Parlay NFT Cashout and Hed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arlay-nf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5312" cy="2962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3" w:lineRule="auto"/>
      </w:pPr>
      <w:r>
        <w:rPr>
          <w:rFonts w:ascii="Arial" w:hAnsi="Arial"/>
          <w:b w:val="0"/>
          <w:i/>
          <w:color w:val="73677E"/>
          <w:sz w:val="17"/>
        </w:rPr>
        <w:t>Figure 4. Parlay NFT Cashout and Hedge.</w:t>
      </w:r>
    </w:p>
    <w:p>
      <w:pPr>
        <w:pStyle w:val="ListBullet"/>
        <w:spacing w:after="60" w:line="283" w:lineRule="auto"/>
        <w:ind w:left="540" w:hanging="271"/>
      </w:pPr>
      <w:r>
        <w:rPr>
          <w:rFonts w:ascii="Arial" w:hAnsi="Arial"/>
          <w:b w:val="0"/>
          <w:i w:val="0"/>
          <w:color w:val="292239"/>
          <w:sz w:val="20"/>
        </w:rPr>
        <w:t>Cashout math applies unresolved probabilities, resolved-leg state, discount basis points, available liquidity, and a minPayout guard.</w:t>
      </w:r>
    </w:p>
    <w:p>
      <w:pPr>
        <w:pStyle w:val="ListBullet"/>
        <w:spacing w:after="60" w:line="283" w:lineRule="auto"/>
        <w:ind w:left="540" w:hanging="271"/>
      </w:pPr>
      <w:r>
        <w:rPr>
          <w:rFonts w:ascii="Arial" w:hAnsi="Arial"/>
          <w:b w:val="0"/>
          <w:i w:val="0"/>
          <w:color w:val="292239"/>
          <w:sz w:val="20"/>
        </w:rPr>
        <w:t>The AI layer can explain hold-versus-cashout risk and propose a hedge route, but cannot modify payout math.</w:t>
      </w:r>
    </w:p>
    <w:p>
      <w:pPr>
        <w:pStyle w:val="ListBullet"/>
        <w:spacing w:after="60" w:line="283" w:lineRule="auto"/>
        <w:ind w:left="540" w:hanging="271"/>
      </w:pPr>
      <w:r>
        <w:rPr>
          <w:rFonts w:ascii="Arial" w:hAnsi="Arial"/>
          <w:b w:val="0"/>
          <w:i w:val="0"/>
          <w:color w:val="292239"/>
          <w:sz w:val="20"/>
        </w:rPr>
        <w:t>Claims remain pull-based after finalized resolution.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i w:val="0"/>
          <w:color w:val="D95A67"/>
          <w:sz w:val="32"/>
        </w:rPr>
        <w:t>5. Oracle Court and Forecast Arena</w:t>
      </w:r>
    </w:p>
    <w:p>
      <w:pPr>
        <w:spacing w:before="0" w:after="100" w:line="283" w:lineRule="auto"/>
      </w:pPr>
      <w:r>
        <w:rPr>
          <w:rFonts w:ascii="Arial" w:hAnsi="Arial"/>
          <w:b w:val="0"/>
          <w:i w:val="0"/>
          <w:color w:val="292239"/>
          <w:sz w:val="21"/>
        </w:rPr>
        <w:t>Outcome integrity is visible: Oracle Court handles commit-reveal and bonded disputes, while Forecast Arena turns finalized outcomes into auditable Brier scores and reputation updates.</w:t>
      </w:r>
    </w:p>
    <w:p>
      <w:r>
        <w:drawing>
          <wp:inline xmlns:a="http://schemas.openxmlformats.org/drawingml/2006/main" xmlns:pic="http://schemas.openxmlformats.org/drawingml/2006/picture">
            <wp:extent cx="5925312" cy="3094330"/>
            <wp:docPr id="5" name="Picture 5" descr="Oracle Court and Forecast Arena" title="Oracle Court and Forecast Aren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oracle-foreca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5312" cy="3094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3" w:lineRule="auto"/>
      </w:pPr>
      <w:r>
        <w:rPr>
          <w:rFonts w:ascii="Arial" w:hAnsi="Arial"/>
          <w:b w:val="0"/>
          <w:i/>
          <w:color w:val="73677E"/>
          <w:sz w:val="17"/>
        </w:rPr>
        <w:t>Figure 5. Oracle Court and Forecast Arena.</w:t>
      </w:r>
    </w:p>
    <w:p>
      <w:pPr>
        <w:pStyle w:val="ListBullet"/>
        <w:spacing w:after="60" w:line="283" w:lineRule="auto"/>
        <w:ind w:left="540" w:hanging="271"/>
      </w:pPr>
      <w:r>
        <w:rPr>
          <w:rFonts w:ascii="Arial" w:hAnsi="Arial"/>
          <w:b w:val="0"/>
          <w:i w:val="0"/>
          <w:color w:val="292239"/>
          <w:sz w:val="20"/>
        </w:rPr>
        <w:t>Challenges carry a configured bond and place the market into a disputed state.</w:t>
      </w:r>
    </w:p>
    <w:p>
      <w:pPr>
        <w:pStyle w:val="ListBullet"/>
        <w:spacing w:after="60" w:line="283" w:lineRule="auto"/>
        <w:ind w:left="540" w:hanging="271"/>
      </w:pPr>
      <w:r>
        <w:rPr>
          <w:rFonts w:ascii="Arial" w:hAnsi="Arial"/>
          <w:b w:val="0"/>
          <w:i w:val="0"/>
          <w:color w:val="292239"/>
          <w:sz w:val="20"/>
        </w:rPr>
        <w:t>Forecast agents reveal one probability per market before deadline.</w:t>
      </w:r>
    </w:p>
    <w:p>
      <w:pPr>
        <w:pStyle w:val="ListBullet"/>
        <w:spacing w:after="60" w:line="283" w:lineRule="auto"/>
        <w:ind w:left="540" w:hanging="271"/>
      </w:pPr>
      <w:r>
        <w:rPr>
          <w:rFonts w:ascii="Arial" w:hAnsi="Arial"/>
          <w:b w:val="0"/>
          <w:i w:val="0"/>
          <w:color w:val="292239"/>
          <w:sz w:val="20"/>
        </w:rPr>
        <w:t>Finalized results drive leaderboards, badges, and authorized reputation reports.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i w:val="0"/>
          <w:color w:val="D95A67"/>
          <w:sz w:val="32"/>
        </w:rPr>
        <w:t>6. Agentic AI Safety and Tier Gating</w:t>
      </w:r>
    </w:p>
    <w:p>
      <w:pPr>
        <w:spacing w:before="0" w:after="100" w:line="283" w:lineRule="auto"/>
      </w:pPr>
      <w:r>
        <w:rPr>
          <w:rFonts w:ascii="Arial" w:hAnsi="Arial"/>
          <w:b w:val="0"/>
          <w:i w:val="0"/>
          <w:color w:val="292239"/>
          <w:sz w:val="21"/>
        </w:rPr>
        <w:t>ArenaX exposes AI as a visible advisory layer rather than an invisible executor. Every task writes a ledger and every state-changing proposal routes back to the user.</w:t>
      </w:r>
    </w:p>
    <w:p>
      <w:r>
        <w:drawing>
          <wp:inline xmlns:a="http://schemas.openxmlformats.org/drawingml/2006/main" xmlns:pic="http://schemas.openxmlformats.org/drawingml/2006/picture">
            <wp:extent cx="5925312" cy="3226003"/>
            <wp:docPr id="6" name="Picture 6" descr="Agentic AI Safety and Tier Gating" title="Agentic AI Safety and Tier Gat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i-safet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5312" cy="32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3" w:lineRule="auto"/>
      </w:pPr>
      <w:r>
        <w:rPr>
          <w:rFonts w:ascii="Arial" w:hAnsi="Arial"/>
          <w:b w:val="0"/>
          <w:i/>
          <w:color w:val="73677E"/>
          <w:sz w:val="17"/>
        </w:rPr>
        <w:t>Figure 6. Agentic AI Safety and Tier Gating.</w:t>
      </w:r>
    </w:p>
    <w:p>
      <w:pPr>
        <w:pStyle w:val="ListBullet"/>
        <w:spacing w:after="60" w:line="283" w:lineRule="auto"/>
        <w:ind w:left="540" w:hanging="271"/>
      </w:pPr>
      <w:r>
        <w:rPr>
          <w:rFonts w:ascii="Arial" w:hAnsi="Arial"/>
          <w:b w:val="0"/>
          <w:i w:val="0"/>
          <w:color w:val="292239"/>
          <w:sz w:val="20"/>
        </w:rPr>
        <w:t>AIPass tiers gate credits and feature access for Free, Pro, Creator, LP, and Institutional users.</w:t>
      </w:r>
    </w:p>
    <w:p>
      <w:pPr>
        <w:pStyle w:val="ListBullet"/>
        <w:spacing w:after="60" w:line="283" w:lineRule="auto"/>
        <w:ind w:left="540" w:hanging="271"/>
      </w:pPr>
      <w:r>
        <w:rPr>
          <w:rFonts w:ascii="Arial" w:hAnsi="Arial"/>
          <w:b w:val="0"/>
          <w:i w:val="0"/>
          <w:color w:val="292239"/>
          <w:sz w:val="20"/>
        </w:rPr>
        <w:t>When a model key is unavailable, deterministic fallback analysis preserves an explainable demo.</w:t>
      </w:r>
    </w:p>
    <w:p>
      <w:pPr>
        <w:pStyle w:val="ListBullet"/>
        <w:spacing w:after="60" w:line="283" w:lineRule="auto"/>
        <w:ind w:left="540" w:hanging="271"/>
      </w:pPr>
      <w:r>
        <w:rPr>
          <w:rFonts w:ascii="Arial" w:hAnsi="Arial"/>
          <w:b w:val="0"/>
          <w:i w:val="0"/>
          <w:color w:val="292239"/>
          <w:sz w:val="20"/>
        </w:rPr>
        <w:t>ResponsibleLimits can block unsafe AI execution proposals before wallet approval.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i w:val="0"/>
          <w:color w:val="D95A67"/>
          <w:sz w:val="32"/>
        </w:rPr>
        <w:t>7. Shared LP Vault and Creator Economy</w:t>
      </w:r>
    </w:p>
    <w:p>
      <w:pPr>
        <w:spacing w:before="0" w:after="100" w:line="283" w:lineRule="auto"/>
      </w:pPr>
      <w:r>
        <w:rPr>
          <w:rFonts w:ascii="Arial" w:hAnsi="Arial"/>
          <w:b w:val="0"/>
          <w:i w:val="0"/>
          <w:color w:val="292239"/>
          <w:sz w:val="21"/>
        </w:rPr>
        <w:t>The liquidity workflow is designed for transparent deployment and safe recall. The creator economy is wired into trading rather than shown as a disconnected dashboard.</w:t>
      </w:r>
    </w:p>
    <w:p>
      <w:r>
        <w:drawing>
          <wp:inline xmlns:a="http://schemas.openxmlformats.org/drawingml/2006/main" xmlns:pic="http://schemas.openxmlformats.org/drawingml/2006/picture">
            <wp:extent cx="5925312" cy="3028493"/>
            <wp:docPr id="7" name="Picture 7" descr="Shared LP Vault and Creator Economy" title="Shared LP Vault and Creator Econom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lp-creat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25312" cy="3028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3" w:lineRule="auto"/>
      </w:pPr>
      <w:r>
        <w:rPr>
          <w:rFonts w:ascii="Arial" w:hAnsi="Arial"/>
          <w:b w:val="0"/>
          <w:i/>
          <w:color w:val="73677E"/>
          <w:sz w:val="17"/>
        </w:rPr>
        <w:t>Figure 7. Shared LP Vault and Creator Economy.</w:t>
      </w:r>
    </w:p>
    <w:p>
      <w:pPr>
        <w:pStyle w:val="ListBullet"/>
        <w:spacing w:after="60" w:line="283" w:lineRule="auto"/>
        <w:ind w:left="540" w:hanging="271"/>
      </w:pPr>
      <w:r>
        <w:rPr>
          <w:rFonts w:ascii="Arial" w:hAnsi="Arial"/>
          <w:b w:val="0"/>
          <w:i w:val="0"/>
          <w:color w:val="292239"/>
          <w:sz w:val="20"/>
        </w:rPr>
        <w:t>Vault shares represent proportional deposits; withdrawals queue when idle liquidity is insufficient.</w:t>
      </w:r>
    </w:p>
    <w:p>
      <w:pPr>
        <w:pStyle w:val="ListBullet"/>
        <w:spacing w:after="60" w:line="283" w:lineRule="auto"/>
        <w:ind w:left="540" w:hanging="271"/>
      </w:pPr>
      <w:r>
        <w:rPr>
          <w:rFonts w:ascii="Arial" w:hAnsi="Arial"/>
          <w:b w:val="0"/>
          <w:i w:val="0"/>
          <w:color w:val="292239"/>
          <w:sz w:val="20"/>
        </w:rPr>
        <w:t>The LP agent proposes rebalances with drawdown context; the operator still approves execution.</w:t>
      </w:r>
    </w:p>
    <w:p>
      <w:pPr>
        <w:pStyle w:val="ListBullet"/>
        <w:spacing w:after="60" w:line="283" w:lineRule="auto"/>
        <w:ind w:left="540" w:hanging="271"/>
      </w:pPr>
      <w:r>
        <w:rPr>
          <w:rFonts w:ascii="Arial" w:hAnsi="Arial"/>
          <w:b w:val="0"/>
          <w:i w:val="0"/>
          <w:color w:val="292239"/>
          <w:sz w:val="20"/>
        </w:rPr>
        <w:t>CreatorVault separates creator, referral, and protocol balances for pull-based claims.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i w:val="0"/>
          <w:color w:val="D95A67"/>
          <w:sz w:val="32"/>
        </w:rPr>
        <w:t>8. Indexer, Runtime Modes, and Operations</w:t>
      </w:r>
    </w:p>
    <w:p>
      <w:pPr>
        <w:spacing w:before="0" w:after="100" w:line="283" w:lineRule="auto"/>
      </w:pPr>
      <w:r>
        <w:rPr>
          <w:rFonts w:ascii="Arial" w:hAnsi="Arial"/>
          <w:b w:val="0"/>
          <w:i w:val="0"/>
          <w:color w:val="292239"/>
          <w:sz w:val="21"/>
        </w:rPr>
        <w:t>Ponder converts Monad events into a queryable product read model. Typed frontend services read indexed APIs and retain local fallback fixtures for hackathon continuity.</w:t>
      </w:r>
    </w:p>
    <w:p>
      <w:r>
        <w:drawing>
          <wp:inline xmlns:a="http://schemas.openxmlformats.org/drawingml/2006/main" xmlns:pic="http://schemas.openxmlformats.org/drawingml/2006/picture">
            <wp:extent cx="5925312" cy="3028493"/>
            <wp:docPr id="8" name="Picture 8" descr="Indexer, Runtime Modes, and Operations" title="Indexer, Runtime Modes, and Operat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indexer-operation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25312" cy="3028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3" w:lineRule="auto"/>
      </w:pPr>
      <w:r>
        <w:rPr>
          <w:rFonts w:ascii="Arial" w:hAnsi="Arial"/>
          <w:b w:val="0"/>
          <w:i/>
          <w:color w:val="73677E"/>
          <w:sz w:val="17"/>
        </w:rPr>
        <w:t>Figure 8. Indexer, Runtime Modes, and Operations.</w:t>
      </w:r>
    </w:p>
    <w:p>
      <w:pPr>
        <w:pStyle w:val="ListBullet"/>
        <w:spacing w:after="60" w:line="283" w:lineRule="auto"/>
        <w:ind w:left="540" w:hanging="271"/>
      </w:pPr>
      <w:r>
        <w:rPr>
          <w:rFonts w:ascii="Arial" w:hAnsi="Arial"/>
          <w:b w:val="0"/>
          <w:i w:val="0"/>
          <w:color w:val="292239"/>
          <w:sz w:val="20"/>
        </w:rPr>
        <w:t>Indexed domains include markets, exchange, parlays, forecasts, oracle cases, LP vault activity, passes, leagues, badges, spend, creator revenue, and risk proposals.</w:t>
      </w:r>
    </w:p>
    <w:p>
      <w:pPr>
        <w:pStyle w:val="ListBullet"/>
        <w:spacing w:after="60" w:line="283" w:lineRule="auto"/>
        <w:ind w:left="540" w:hanging="271"/>
      </w:pPr>
      <w:r>
        <w:rPr>
          <w:rFonts w:ascii="Arial" w:hAnsi="Arial"/>
          <w:b w:val="0"/>
          <w:i w:val="0"/>
          <w:color w:val="292239"/>
          <w:sz w:val="20"/>
        </w:rPr>
        <w:t>Runtime modes remain explicit: TESTNET_ONLY, POINTS_ONLY, DEMO_FALLBACK, and LEGAL_REVIEW_REQUIRED.</w:t>
      </w:r>
    </w:p>
    <w:p>
      <w:pPr>
        <w:pStyle w:val="ListBullet"/>
        <w:spacing w:after="60" w:line="283" w:lineRule="auto"/>
        <w:ind w:left="540" w:hanging="271"/>
      </w:pPr>
      <w:r>
        <w:rPr>
          <w:rFonts w:ascii="Arial" w:hAnsi="Arial"/>
          <w:b w:val="0"/>
          <w:i w:val="0"/>
          <w:color w:val="292239"/>
          <w:sz w:val="20"/>
        </w:rPr>
        <w:t>The verification command covers frontend lint/build, matcher TypeScript build, Ponder codegen, and Foundry tests.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i w:val="0"/>
          <w:color w:val="D95A67"/>
          <w:sz w:val="32"/>
        </w:rPr>
        <w:t>9. Contract and Event Completeness Matrix</w:t>
      </w:r>
    </w:p>
    <w:p>
      <w:pPr>
        <w:spacing w:before="0" w:after="100" w:line="283" w:lineRule="auto"/>
      </w:pPr>
      <w:r>
        <w:rPr>
          <w:rFonts w:ascii="Arial" w:hAnsi="Arial"/>
          <w:b w:val="0"/>
          <w:i w:val="0"/>
          <w:color w:val="292239"/>
          <w:sz w:val="21"/>
        </w:rPr>
        <w:t>This matrix confirms that the visual workflows cover each implemented protocol module and its most important emitted or indexed behavior.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3300"/>
        <w:gridCol w:w="43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E8F8"/>
          </w:tcPr>
          <w:p>
            <w:r>
              <w:rPr>
                <w:rFonts w:ascii="Arial" w:hAnsi="Arial"/>
                <w:b/>
                <w:i w:val="0"/>
                <w:color w:val="292239"/>
                <w:sz w:val="18"/>
              </w:rPr>
              <w:t>MODULE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E8F8"/>
          </w:tcPr>
          <w:p>
            <w:r>
              <w:rPr>
                <w:rFonts w:ascii="Arial" w:hAnsi="Arial"/>
                <w:b/>
                <w:i w:val="0"/>
                <w:color w:val="292239"/>
                <w:sz w:val="18"/>
              </w:rPr>
              <w:t>PRIMARY RESPONSIBILITY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E8F8"/>
          </w:tcPr>
          <w:p>
            <w:r>
              <w:rPr>
                <w:rFonts w:ascii="Arial" w:hAnsi="Arial"/>
                <w:b/>
                <w:i w:val="0"/>
                <w:color w:val="292239"/>
                <w:sz w:val="18"/>
              </w:rPr>
              <w:t>INDEXED OR VISIBLE BEHAVIOR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92239"/>
                <w:sz w:val="18"/>
              </w:rPr>
              <w:t>MarketFactory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92239"/>
                <w:sz w:val="18"/>
              </w:rPr>
              <w:t>Market registry and lifecycle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92239"/>
                <w:sz w:val="18"/>
              </w:rPr>
              <w:t>MarketCreated, locked/disputed/finalized state</w:t>
            </w:r>
          </w:p>
        </w:tc>
      </w:tr>
      <w:tr>
        <w:tc>
          <w:tcPr>
            <w:tcW w:type="dxa" w:w="17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92239"/>
                <w:sz w:val="18"/>
              </w:rPr>
              <w:t>AMMPool</w:t>
            </w:r>
          </w:p>
        </w:tc>
        <w:tc>
          <w:tcPr>
            <w:tcW w:type="dxa" w:w="33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92239"/>
                <w:sz w:val="18"/>
              </w:rPr>
              <w:t>Outcome shares and LP accounting</w:t>
            </w:r>
          </w:p>
        </w:tc>
        <w:tc>
          <w:tcPr>
            <w:tcW w:type="dxa" w:w="436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92239"/>
                <w:sz w:val="18"/>
              </w:rPr>
              <w:t>Trade, quote movement, creator-aware fees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92239"/>
                <w:sz w:val="18"/>
              </w:rPr>
              <w:t>ExchangeBook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92239"/>
                <w:sz w:val="18"/>
              </w:rPr>
              <w:t>EIP-712 settlement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92239"/>
                <w:sz w:val="18"/>
              </w:rPr>
              <w:t>Fill, cancellation, nonce and partial-fill state</w:t>
            </w:r>
          </w:p>
        </w:tc>
      </w:tr>
      <w:tr>
        <w:tc>
          <w:tcPr>
            <w:tcW w:type="dxa" w:w="17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92239"/>
                <w:sz w:val="18"/>
              </w:rPr>
              <w:t>ParlayEngine</w:t>
            </w:r>
          </w:p>
        </w:tc>
        <w:tc>
          <w:tcPr>
            <w:tcW w:type="dxa" w:w="33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92239"/>
                <w:sz w:val="18"/>
              </w:rPr>
              <w:t>ERC-721 parlay positions</w:t>
            </w:r>
          </w:p>
        </w:tc>
        <w:tc>
          <w:tcPr>
            <w:tcW w:type="dxa" w:w="436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92239"/>
                <w:sz w:val="18"/>
              </w:rPr>
              <w:t>Mint, liability reserve, cashout, claim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92239"/>
                <w:sz w:val="18"/>
              </w:rPr>
              <w:t>OracleCouncil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92239"/>
                <w:sz w:val="18"/>
              </w:rPr>
              <w:t>Resolution integrity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92239"/>
                <w:sz w:val="18"/>
              </w:rPr>
              <w:t>Commit, reveal, challenge, council finalize</w:t>
            </w:r>
          </w:p>
        </w:tc>
      </w:tr>
      <w:tr>
        <w:tc>
          <w:tcPr>
            <w:tcW w:type="dxa" w:w="17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92239"/>
                <w:sz w:val="18"/>
              </w:rPr>
              <w:t>ForecastArena</w:t>
            </w:r>
          </w:p>
        </w:tc>
        <w:tc>
          <w:tcPr>
            <w:tcW w:type="dxa" w:w="33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92239"/>
                <w:sz w:val="18"/>
              </w:rPr>
              <w:t>Agent tournament</w:t>
            </w:r>
          </w:p>
        </w:tc>
        <w:tc>
          <w:tcPr>
            <w:tcW w:type="dxa" w:w="436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92239"/>
                <w:sz w:val="18"/>
              </w:rPr>
              <w:t>Agent registration, forecast commit/reveal, Brier score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92239"/>
                <w:sz w:val="18"/>
              </w:rPr>
              <w:t>SharedLiquidityVault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92239"/>
                <w:sz w:val="18"/>
              </w:rPr>
              <w:t>Shared LP capital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92239"/>
                <w:sz w:val="18"/>
              </w:rPr>
              <w:t>Deposit, allocation, queued withdrawal, rebalance</w:t>
            </w:r>
          </w:p>
        </w:tc>
      </w:tr>
      <w:tr>
        <w:tc>
          <w:tcPr>
            <w:tcW w:type="dxa" w:w="17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92239"/>
                <w:sz w:val="18"/>
              </w:rPr>
              <w:t>CreatorVault</w:t>
            </w:r>
          </w:p>
        </w:tc>
        <w:tc>
          <w:tcPr>
            <w:tcW w:type="dxa" w:w="33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92239"/>
                <w:sz w:val="18"/>
              </w:rPr>
              <w:t>Revenue accounting</w:t>
            </w:r>
          </w:p>
        </w:tc>
        <w:tc>
          <w:tcPr>
            <w:tcW w:type="dxa" w:w="436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92239"/>
                <w:sz w:val="18"/>
              </w:rPr>
              <w:t>Creator, referral, and protocol claimable balances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92239"/>
                <w:sz w:val="18"/>
              </w:rPr>
              <w:t>AIPass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92239"/>
                <w:sz w:val="18"/>
              </w:rPr>
              <w:t>Paid AI access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92239"/>
                <w:sz w:val="18"/>
              </w:rPr>
              <w:t>Tier mint, credit spend, authorized consumer</w:t>
            </w:r>
          </w:p>
        </w:tc>
      </w:tr>
      <w:tr>
        <w:tc>
          <w:tcPr>
            <w:tcW w:type="dxa" w:w="17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92239"/>
                <w:sz w:val="18"/>
              </w:rPr>
              <w:t>ResponsibleLimits</w:t>
            </w:r>
          </w:p>
        </w:tc>
        <w:tc>
          <w:tcPr>
            <w:tcW w:type="dxa" w:w="33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92239"/>
                <w:sz w:val="18"/>
              </w:rPr>
              <w:t>Usage controls</w:t>
            </w:r>
          </w:p>
        </w:tc>
        <w:tc>
          <w:tcPr>
            <w:tcW w:type="dxa" w:w="436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92239"/>
                <w:sz w:val="18"/>
              </w:rPr>
              <w:t>Exposure, daily usage, open order, execution caps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92239"/>
                <w:sz w:val="18"/>
              </w:rPr>
              <w:t>RiskGovernor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92239"/>
                <w:sz w:val="18"/>
              </w:rPr>
              <w:t>Approval-only risk automation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92239"/>
                <w:sz w:val="18"/>
              </w:rPr>
              <w:t>Proposal, approval, execution, block</w:t>
            </w:r>
          </w:p>
        </w:tc>
      </w:tr>
      <w:tr>
        <w:tc>
          <w:tcPr>
            <w:tcW w:type="dxa" w:w="17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92239"/>
                <w:sz w:val="18"/>
              </w:rPr>
              <w:t>Reputation + LeagueFactory</w:t>
            </w:r>
          </w:p>
        </w:tc>
        <w:tc>
          <w:tcPr>
            <w:tcW w:type="dxa" w:w="33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92239"/>
                <w:sz w:val="18"/>
              </w:rPr>
              <w:t>Community layer</w:t>
            </w:r>
          </w:p>
        </w:tc>
        <w:tc>
          <w:tcPr>
            <w:tcW w:type="dxa" w:w="436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92239"/>
                <w:sz w:val="18"/>
              </w:rPr>
              <w:t>League join, score, XP, badge issuance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Arial" w:hAnsi="Arial"/>
          <w:b/>
          <w:i w:val="0"/>
          <w:color w:val="7456A1"/>
          <w:sz w:val="26"/>
        </w:rPr>
        <w:t>Indexed Event Coverage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E8F8"/>
          </w:tcPr>
          <w:p>
            <w:r>
              <w:rPr>
                <w:rFonts w:ascii="Arial" w:hAnsi="Arial"/>
                <w:b/>
                <w:i w:val="0"/>
                <w:color w:val="292239"/>
                <w:sz w:val="18"/>
              </w:rPr>
              <w:t>DOMAIN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E8F8"/>
          </w:tcPr>
          <w:p>
            <w:r>
              <w:rPr>
                <w:rFonts w:ascii="Arial" w:hAnsi="Arial"/>
                <w:b/>
                <w:i w:val="0"/>
                <w:color w:val="292239"/>
                <w:sz w:val="18"/>
              </w:rPr>
              <w:t>EVENT COVERAGE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92239"/>
                <w:sz w:val="18"/>
              </w:rPr>
              <w:t>Markets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92239"/>
                <w:sz w:val="18"/>
              </w:rPr>
              <w:t>Market created, trade, result finalized</w:t>
            </w:r>
          </w:p>
        </w:tc>
      </w:tr>
      <w:tr>
        <w:tc>
          <w:tcPr>
            <w:tcW w:type="dxa" w:w="21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92239"/>
                <w:sz w:val="18"/>
              </w:rPr>
              <w:t>Exchange</w:t>
            </w:r>
          </w:p>
        </w:tc>
        <w:tc>
          <w:tcPr>
            <w:tcW w:type="dxa" w:w="726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92239"/>
                <w:sz w:val="18"/>
              </w:rPr>
              <w:t>Fill, cancellation, routed settlement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92239"/>
                <w:sz w:val="18"/>
              </w:rPr>
              <w:t>Parlays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92239"/>
                <w:sz w:val="18"/>
              </w:rPr>
              <w:t>NFT creation, liability reservation, cashout, claim</w:t>
            </w:r>
          </w:p>
        </w:tc>
      </w:tr>
      <w:tr>
        <w:tc>
          <w:tcPr>
            <w:tcW w:type="dxa" w:w="21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92239"/>
                <w:sz w:val="18"/>
              </w:rPr>
              <w:t>Forecast Arena</w:t>
            </w:r>
          </w:p>
        </w:tc>
        <w:tc>
          <w:tcPr>
            <w:tcW w:type="dxa" w:w="726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92239"/>
                <w:sz w:val="18"/>
              </w:rPr>
              <w:t>Registration, commit, reveal, score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92239"/>
                <w:sz w:val="18"/>
              </w:rPr>
              <w:t>Oracle Court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92239"/>
                <w:sz w:val="18"/>
              </w:rPr>
              <w:t>Commit, reveal, challenge, resolution</w:t>
            </w:r>
          </w:p>
        </w:tc>
      </w:tr>
      <w:tr>
        <w:tc>
          <w:tcPr>
            <w:tcW w:type="dxa" w:w="21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92239"/>
                <w:sz w:val="18"/>
              </w:rPr>
              <w:t>Shared LP vault</w:t>
            </w:r>
          </w:p>
        </w:tc>
        <w:tc>
          <w:tcPr>
            <w:tcW w:type="dxa" w:w="726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92239"/>
                <w:sz w:val="18"/>
              </w:rPr>
              <w:t>Deposit, allocation, queued withdrawal, rebalance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92239"/>
                <w:sz w:val="18"/>
              </w:rPr>
              <w:t>AI passes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92239"/>
                <w:sz w:val="18"/>
              </w:rPr>
              <w:t>Tier mint, spend record, credit consumption</w:t>
            </w:r>
          </w:p>
        </w:tc>
      </w:tr>
      <w:tr>
        <w:tc>
          <w:tcPr>
            <w:tcW w:type="dxa" w:w="21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92239"/>
                <w:sz w:val="18"/>
              </w:rPr>
              <w:t>Community</w:t>
            </w:r>
          </w:p>
        </w:tc>
        <w:tc>
          <w:tcPr>
            <w:tcW w:type="dxa" w:w="726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92239"/>
                <w:sz w:val="18"/>
              </w:rPr>
              <w:t>League join, badge issued, reputation report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92239"/>
                <w:sz w:val="18"/>
              </w:rPr>
              <w:t>Creator economy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92239"/>
                <w:sz w:val="18"/>
              </w:rPr>
              <w:t>Creator fee, referral credit, protocol balance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i w:val="0"/>
          <w:color w:val="D95A67"/>
          <w:sz w:val="32"/>
        </w:rPr>
        <w:t>10. Judge Walkthrough and Verification</w:t>
      </w:r>
    </w:p>
    <w:p>
      <w:pPr>
        <w:spacing w:before="0" w:after="100" w:line="283" w:lineRule="auto"/>
      </w:pPr>
      <w:r>
        <w:rPr>
          <w:rFonts w:ascii="Arial" w:hAnsi="Arial"/>
          <w:b w:val="0"/>
          <w:i w:val="0"/>
          <w:color w:val="292239"/>
          <w:sz w:val="21"/>
        </w:rPr>
        <w:t>The strongest demo is short, linear, and visibly Monad-native. Use the built-in runbook as a backup, while presenting Arena as the primary product experience.</w:t>
      </w:r>
    </w:p>
    <w:p>
      <w:pPr>
        <w:pStyle w:val="ListNumber"/>
        <w:spacing w:after="80"/>
        <w:ind w:left="540" w:hanging="271"/>
      </w:pPr>
      <w:r>
        <w:rPr>
          <w:rFonts w:ascii="Arial" w:hAnsi="Arial"/>
          <w:b w:val="0"/>
          <w:i w:val="0"/>
          <w:color w:val="292239"/>
          <w:sz w:val="20"/>
        </w:rPr>
        <w:t>Open ArenaX and let the translucent launch sequence fade into the live market board.</w:t>
      </w:r>
    </w:p>
    <w:p>
      <w:pPr>
        <w:pStyle w:val="ListNumber"/>
        <w:spacing w:after="80"/>
        <w:ind w:left="540" w:hanging="271"/>
      </w:pPr>
      <w:r>
        <w:rPr>
          <w:rFonts w:ascii="Arial" w:hAnsi="Arial"/>
          <w:b w:val="0"/>
          <w:i w:val="0"/>
          <w:color w:val="292239"/>
          <w:sz w:val="20"/>
        </w:rPr>
        <w:t>Connect or switch the wallet to Monad testnet and point out chain ID 10143, RPC health, block pulse, and explorer links.</w:t>
      </w:r>
    </w:p>
    <w:p>
      <w:pPr>
        <w:pStyle w:val="ListNumber"/>
        <w:spacing w:after="80"/>
        <w:ind w:left="540" w:hanging="271"/>
      </w:pPr>
      <w:r>
        <w:rPr>
          <w:rFonts w:ascii="Arial" w:hAnsi="Arial"/>
          <w:b w:val="0"/>
          <w:i w:val="0"/>
          <w:color w:val="292239"/>
          <w:sz w:val="20"/>
        </w:rPr>
        <w:t>Filter Live markets, load a YES or NO quick pick, review payout and responsible-limit status, then sign the testnet trade.</w:t>
      </w:r>
    </w:p>
    <w:p>
      <w:pPr>
        <w:pStyle w:val="ListNumber"/>
        <w:spacing w:after="80"/>
        <w:ind w:left="540" w:hanging="271"/>
      </w:pPr>
      <w:r>
        <w:rPr>
          <w:rFonts w:ascii="Arial" w:hAnsi="Arial"/>
          <w:b w:val="0"/>
          <w:i w:val="0"/>
          <w:color w:val="292239"/>
          <w:sz w:val="20"/>
        </w:rPr>
        <w:t>Add two legs and mint the transferable parlay NFT. Open Portfolio and request deterministic cashout plus advisory hedge analysis.</w:t>
      </w:r>
    </w:p>
    <w:p>
      <w:pPr>
        <w:pStyle w:val="ListNumber"/>
        <w:spacing w:after="80"/>
        <w:ind w:left="540" w:hanging="271"/>
      </w:pPr>
      <w:r>
        <w:rPr>
          <w:rFonts w:ascii="Arial" w:hAnsi="Arial"/>
          <w:b w:val="0"/>
          <w:i w:val="0"/>
          <w:color w:val="292239"/>
          <w:sz w:val="20"/>
        </w:rPr>
        <w:t>Open Pro Exchange, preview AMM/CLOB routing, create a signed-order preview, and show the settlement timeline.</w:t>
      </w:r>
    </w:p>
    <w:p>
      <w:pPr>
        <w:pStyle w:val="ListNumber"/>
        <w:spacing w:after="80"/>
        <w:ind w:left="540" w:hanging="271"/>
      </w:pPr>
      <w:r>
        <w:rPr>
          <w:rFonts w:ascii="Arial" w:hAnsi="Arial"/>
          <w:b w:val="0"/>
          <w:i w:val="0"/>
          <w:color w:val="292239"/>
          <w:sz w:val="20"/>
        </w:rPr>
        <w:t>Run Forecast Arena, advance an Oracle Court challenge, approve an LP vault rebalance, and create an AI-reviewed market draft.</w:t>
      </w:r>
    </w:p>
    <w:p>
      <w:pPr>
        <w:pStyle w:val="ListNumber"/>
        <w:spacing w:after="80"/>
        <w:ind w:left="540" w:hanging="271"/>
      </w:pPr>
      <w:r>
        <w:rPr>
          <w:rFonts w:ascii="Arial" w:hAnsi="Arial"/>
          <w:b w:val="0"/>
          <w:i w:val="0"/>
          <w:color w:val="292239"/>
          <w:sz w:val="20"/>
        </w:rPr>
        <w:t>Close on indexed freshness, the safety modes, and the fact that test MON has no monetary value.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2F3FF"/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7456A1"/>
                <w:sz w:val="18"/>
              </w:rPr>
              <w:t>ONE-COMMAND VERIFICATION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92239"/>
                <w:sz w:val="20"/>
              </w:rPr>
              <w:t>Run npm run verify for frontend lint/build, matcher TypeScript build, Ponder codegen, and all Foundry tests. Run npm run matcher:smoke while the matcher is live for router, advisory AI, order types, cancellation, sports lock, WebSocket, nonce, and rate-limit checks.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rial" w:hAnsi="Arial"/>
          <w:b/>
          <w:i w:val="0"/>
          <w:color w:val="7456A1"/>
          <w:sz w:val="26"/>
        </w:rPr>
        <w:t>Runtime Safety Modes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E8F8"/>
          </w:tcPr>
          <w:p>
            <w:r>
              <w:rPr>
                <w:rFonts w:ascii="Arial" w:hAnsi="Arial"/>
                <w:b/>
                <w:i w:val="0"/>
                <w:color w:val="292239"/>
                <w:sz w:val="18"/>
              </w:rPr>
              <w:t>MODE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E8F8"/>
          </w:tcPr>
          <w:p>
            <w:r>
              <w:rPr>
                <w:rFonts w:ascii="Arial" w:hAnsi="Arial"/>
                <w:b/>
                <w:i w:val="0"/>
                <w:color w:val="292239"/>
                <w:sz w:val="18"/>
              </w:rPr>
              <w:t>PURPOSE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92239"/>
                <w:sz w:val="18"/>
              </w:rPr>
              <w:t>TESTNET_ONLY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92239"/>
                <w:sz w:val="18"/>
              </w:rPr>
              <w:t>Default hackathon mode. Transactions use Monad testnet only.</w:t>
            </w:r>
          </w:p>
        </w:tc>
      </w:tr>
      <w:tr>
        <w:tc>
          <w:tcPr>
            <w:tcW w:type="dxa" w:w="22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92239"/>
                <w:sz w:val="18"/>
              </w:rPr>
              <w:t>POINTS_ONLY</w:t>
            </w:r>
          </w:p>
        </w:tc>
        <w:tc>
          <w:tcPr>
            <w:tcW w:type="dxa" w:w="716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92239"/>
                <w:sz w:val="18"/>
              </w:rPr>
              <w:t>Disables wallet value flows while preserving the product walkthrough.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92239"/>
                <w:sz w:val="18"/>
              </w:rPr>
              <w:t>DEMO_FALLBACK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92239"/>
                <w:sz w:val="18"/>
              </w:rPr>
              <w:t>Uses deterministic fixtures when optional APIs are unavailable.</w:t>
            </w:r>
          </w:p>
        </w:tc>
      </w:tr>
      <w:tr>
        <w:tc>
          <w:tcPr>
            <w:tcW w:type="dxa" w:w="22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92239"/>
                <w:sz w:val="18"/>
              </w:rPr>
              <w:t>LEGAL_REVIEW_REQUIRED</w:t>
            </w:r>
          </w:p>
        </w:tc>
        <w:tc>
          <w:tcPr>
            <w:tcW w:type="dxa" w:w="716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92239"/>
                <w:sz w:val="18"/>
              </w:rPr>
              <w:t>Keeps any future real-money path disabled pending review.</w:t>
            </w:r>
          </w:p>
        </w:tc>
      </w:tr>
    </w:tbl>
    <w:p>
      <w:pPr>
        <w:spacing w:after="60"/>
      </w:pPr>
    </w:p>
    <w:p>
      <w:pPr>
        <w:spacing w:before="160" w:after="100" w:line="283" w:lineRule="auto"/>
      </w:pPr>
      <w:r>
        <w:rPr>
          <w:rFonts w:ascii="Arial" w:hAnsi="Arial"/>
          <w:b w:val="0"/>
          <w:i/>
          <w:color w:val="73677E"/>
          <w:sz w:val="18"/>
        </w:rPr>
        <w:t>End of visual architecture pack.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37" w:left="1440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73677E"/>
        <w:sz w:val="16"/>
      </w:rPr>
      <w:t xml:space="preserve">Monad testnet only  |  test MON has no monetary value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Arial" w:hAnsi="Arial"/>
        <w:b/>
        <w:i w:val="0"/>
        <w:color w:val="73677E"/>
        <w:sz w:val="17"/>
      </w:rPr>
      <w:t>MONAD ARENAX  /  WORKFLOW &amp; ARCHITECTURE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Arial" w:hAnsi="Arial"/>
      <w:color w:val="29223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D95A6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7456A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9779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Monad ArenaX Workflows and Architecture</dc:title>
  <dc:subject>Monad testnet prediction exchange architecture and workflow design pack</dc:subject>
  <dc:creator>Monad ArenaX</dc:creator>
  <cp:keywords>Monad, prediction market, architecture, workflow, hackathon, testnet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