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FFFFFF" w:val="clear"/>
        <w:spacing w:line="294" w:lineRule="atLeast"/>
        <w:jc w:val="center"/>
      </w:pPr>
      <w:r>
        <w:rPr>
          <w:rFonts w:ascii="Helvetica" w:hAnsi="Helvetica"/>
          <w:b/>
          <w:color w:val="000000"/>
          <w:sz w:val="20"/>
          <w:szCs w:val="20"/>
        </w:rPr>
        <w:t>SERIES SEED PREFERRED STOCK INVESTMENT AGREEMENT</w:t>
      </w:r>
    </w:p>
    <w:p>
      <w:pPr>
        <w:pStyle w:val="style0"/>
      </w:pPr>
      <w:r>
        <w:rPr>
          <w:rFonts w:ascii="Helvetica" w:hAnsi="Helvetica"/>
          <w:color w:val="000000"/>
          <w:sz w:val="20"/>
          <w:szCs w:val="20"/>
        </w:rPr>
        <w:br/>
      </w:r>
      <w:r>
        <w:rPr>
          <w:rFonts w:ascii="Helvetica" w:hAnsi="Helvetica"/>
          <w:color w:val="000000"/>
          <w:sz w:val="20"/>
          <w:szCs w:val="20"/>
          <w:shd w:fill="FFFFFF" w:val="clear"/>
        </w:rPr>
        <w:t>This Series Seed Preferred Stock Investment Agreement (this “Agreement”) is made as of the Agreement Date by and among the Company, the Purchasers and the Key Holders.</w:t>
      </w:r>
      <w:r>
        <w:rPr>
          <w:rFonts w:ascii="Helvetica" w:hAnsi="Helvetica"/>
          <w:color w:val="000000"/>
          <w:sz w:val="20"/>
          <w:szCs w:val="20"/>
        </w:rPr>
        <w:br/>
      </w:r>
      <w:r>
        <w:rPr>
          <w:rFonts w:ascii="Helvetica" w:hAnsi="Helvetica"/>
          <w:color w:val="000000"/>
          <w:sz w:val="20"/>
          <w:szCs w:val="20"/>
          <w:shd w:fill="FFFFFF" w:val="clear"/>
        </w:rPr>
        <w:t>The parties hereto hereby agree as follows:</w:t>
      </w:r>
    </w:p>
    <w:p>
      <w:pPr>
        <w:pStyle w:val="style0"/>
        <w:numPr>
          <w:ilvl w:val="0"/>
          <w:numId w:val="1"/>
        </w:numPr>
        <w:shd w:fill="FFFFFF" w:val="clear"/>
        <w:spacing w:line="294" w:lineRule="atLeast"/>
        <w:ind w:hanging="360" w:left="768" w:right="0"/>
      </w:pPr>
      <w:r>
        <w:rPr>
          <w:rFonts w:ascii="Helvetica" w:hAnsi="Helvetica"/>
          <w:color w:val="000000"/>
          <w:sz w:val="20"/>
          <w:szCs w:val="20"/>
          <w:u w:val="single"/>
        </w:rPr>
        <w:t>Definitions</w:t>
      </w:r>
      <w:r>
        <w:rPr>
          <w:rFonts w:ascii="Helvetica" w:hAnsi="Helvetica"/>
          <w:color w:val="000000"/>
          <w:sz w:val="20"/>
          <w:szCs w:val="20"/>
        </w:rPr>
        <w:t>. Capitalized terms used and not otherwise defined in this Agreement or the Exhibit and Schedules thereto shall have the meanings set forth in Exhibit A hereto.</w:t>
      </w:r>
    </w:p>
    <w:p>
      <w:pPr>
        <w:pStyle w:val="style0"/>
        <w:numPr>
          <w:ilvl w:val="0"/>
          <w:numId w:val="1"/>
        </w:numPr>
        <w:shd w:fill="FFFFFF" w:val="clear"/>
        <w:spacing w:line="294" w:lineRule="atLeast"/>
        <w:ind w:hanging="360" w:left="768" w:right="0"/>
      </w:pPr>
      <w:r>
        <w:rPr>
          <w:rFonts w:ascii="Helvetica" w:hAnsi="Helvetica"/>
          <w:color w:val="000000"/>
          <w:sz w:val="20"/>
          <w:szCs w:val="20"/>
          <w:u w:val="single"/>
        </w:rPr>
        <w:t>Investment</w:t>
      </w:r>
      <w:r>
        <w:rPr>
          <w:rFonts w:ascii="Helvetica" w:hAnsi="Helvetica"/>
          <w:color w:val="000000"/>
          <w:sz w:val="20"/>
          <w:szCs w:val="20"/>
        </w:rPr>
        <w:t>. Subject to the terms and conditions of this Agreement, including the Agreement Terms set forth in Exhibit B hereto, (i) each Purchaser agrees to purchase at the applicable Closing and the Company agrees to sell and issue to each Purchaser at such Closing that number of shares of Series Seed Preferred Stock set forth opposite such Purchaser’s name on Schedule 1, at a price per share equal to the Purchase Price (subject to any discounts applicable where all or a portion of such Purchase Price is being paid by cancellation of indebtedness of the Company to such Purchaser) and (ii) each Purchaser, the Company and each Key Holder agrees to be bound by the obligations set forth herein and to grant to the other parties hereto the rights set forth in this Agreement.</w:t>
      </w:r>
    </w:p>
    <w:p>
      <w:pPr>
        <w:pStyle w:val="style0"/>
        <w:numPr>
          <w:ilvl w:val="0"/>
          <w:numId w:val="1"/>
        </w:numPr>
        <w:shd w:fill="FFFFFF" w:val="clear"/>
        <w:spacing w:line="294" w:lineRule="atLeast"/>
        <w:ind w:hanging="360" w:left="768" w:right="0"/>
      </w:pPr>
      <w:r>
        <w:rPr>
          <w:rFonts w:ascii="Helvetica" w:hAnsi="Helvetica"/>
          <w:color w:val="000000"/>
          <w:sz w:val="20"/>
          <w:szCs w:val="20"/>
          <w:u w:val="single"/>
        </w:rPr>
        <w:t>Entire Agreement</w:t>
      </w:r>
      <w:r>
        <w:rPr>
          <w:rFonts w:ascii="Helvetica" w:hAnsi="Helvetica"/>
          <w:color w:val="000000"/>
          <w:sz w:val="20"/>
          <w:szCs w:val="20"/>
        </w:rPr>
        <w:t>. This Agreement (including the Exhibits and Schedules hereto) together with the Restated Charter constitute the full and entire understanding and agreement between the parties with respect to the subject matter hereof, and any other written or oral agreement relating to the subject matter hereof existing between the parties are expressly canceled.</w:t>
      </w:r>
    </w:p>
    <w:p>
      <w:pPr>
        <w:pStyle w:val="style0"/>
      </w:pPr>
      <w:r>
        <w:rPr>
          <w:rFonts w:ascii="Helvetica" w:hAnsi="Helvetica"/>
          <w:b/>
          <w:color w:val="000000"/>
          <w:sz w:val="20"/>
          <w:szCs w:val="20"/>
          <w:shd w:fill="FFFFFF" w:val="clear"/>
        </w:rPr>
        <w:t>DEFINITIONS</w:t>
      </w:r>
    </w:p>
    <w:p>
      <w:pPr>
        <w:pStyle w:val="style0"/>
        <w:numPr>
          <w:ilvl w:val="0"/>
          <w:numId w:val="2"/>
        </w:numPr>
        <w:shd w:fill="FFFFFF" w:val="clear"/>
        <w:spacing w:line="294" w:lineRule="atLeast"/>
        <w:ind w:hanging="360" w:left="768" w:right="0"/>
      </w:pPr>
      <w:r>
        <w:rPr>
          <w:rFonts w:ascii="Helvetica" w:hAnsi="Helvetica"/>
          <w:color w:val="000000"/>
          <w:sz w:val="20"/>
          <w:szCs w:val="20"/>
        </w:rPr>
        <w:t>{Overriding_Definitions}</w:t>
      </w:r>
    </w:p>
    <w:p>
      <w:pPr>
        <w:pStyle w:val="style0"/>
        <w:numPr>
          <w:ilvl w:val="0"/>
          <w:numId w:val="2"/>
        </w:numPr>
        <w:shd w:fill="FFFFFF" w:val="clear"/>
        <w:spacing w:line="294" w:lineRule="atLeast"/>
        <w:ind w:hanging="360" w:left="768" w:right="0"/>
      </w:pPr>
      <w:r>
        <w:rPr>
          <w:rFonts w:ascii="Helvetica" w:hAnsi="Helvetica"/>
          <w:color w:val="000000"/>
          <w:sz w:val="20"/>
          <w:szCs w:val="20"/>
          <w:u w:val="single"/>
        </w:rPr>
        <w:t>OVERVIEW DEFINITIONS</w:t>
      </w:r>
      <w:r>
        <w:rPr>
          <w:rFonts w:ascii="Helvetica" w:hAnsi="Helvetica"/>
          <w:color w:val="000000"/>
          <w:sz w:val="20"/>
          <w:szCs w:val="20"/>
        </w:rPr>
        <w:t>.</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Agreement Date” shall mean {Agt.Date.Effective}.</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Company” shall mean {Cpny.Name}.</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Governing Law” shall mean the laws of {Dispute.Law.State.the}.</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Dispute Resolution Jurisdiction” means the federal or state courts located in {Dispute.Seat._cl}.</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State of Incorporation" shall mean {Cpny.Regis.State.the}.</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Stock Plan” shall mean {Cpny.Cap.Plan.Name}.</w:t>
      </w:r>
    </w:p>
    <w:p>
      <w:pPr>
        <w:pStyle w:val="style0"/>
        <w:numPr>
          <w:ilvl w:val="0"/>
          <w:numId w:val="2"/>
        </w:numPr>
        <w:shd w:fill="FFFFFF" w:val="clear"/>
        <w:spacing w:line="294" w:lineRule="atLeast"/>
        <w:ind w:hanging="360" w:left="768" w:right="0"/>
      </w:pPr>
      <w:r>
        <w:rPr>
          <w:rFonts w:ascii="Helvetica" w:hAnsi="Helvetica"/>
          <w:color w:val="000000"/>
          <w:sz w:val="20"/>
          <w:szCs w:val="20"/>
          <w:u w:val="single"/>
        </w:rPr>
        <w:t>BOARD COMPOSITION DEFINITIONS</w:t>
      </w:r>
      <w:r>
        <w:rPr>
          <w:rFonts w:ascii="Helvetica" w:hAnsi="Helvetica"/>
          <w:color w:val="000000"/>
          <w:sz w:val="20"/>
          <w:szCs w:val="20"/>
        </w:rPr>
        <w:t>.</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Common Board Member Count” shall mean {Cpny.Who.Director.Common.#}.</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Mutual Consent Board Member Count” shall mean {Cpny.Who.Director.Mutual.#}.</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Series Seed Board Member Count” shall mean {Cpny.Who.Director.Seed.#}.</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Common Control Holders” shall mean the {Common_Control_Holders.?Who}.</w:t>
      </w:r>
    </w:p>
    <w:p>
      <w:pPr>
        <w:pStyle w:val="style0"/>
        <w:numPr>
          <w:ilvl w:val="0"/>
          <w:numId w:val="2"/>
        </w:numPr>
        <w:shd w:fill="FFFFFF" w:val="clear"/>
        <w:spacing w:line="294" w:lineRule="atLeast"/>
        <w:ind w:hanging="360" w:left="768" w:right="0"/>
      </w:pPr>
      <w:r>
        <w:rPr>
          <w:rFonts w:ascii="Helvetica" w:hAnsi="Helvetica"/>
          <w:color w:val="000000"/>
          <w:sz w:val="20"/>
          <w:szCs w:val="20"/>
          <w:u w:val="single"/>
        </w:rPr>
        <w:t>TERM SHEET DEFINITIONS</w:t>
      </w:r>
      <w:r>
        <w:rPr>
          <w:rFonts w:ascii="Helvetica" w:hAnsi="Helvetica"/>
          <w:color w:val="000000"/>
          <w:sz w:val="20"/>
          <w:szCs w:val="20"/>
        </w:rPr>
        <w:t>.</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Major Purchaser Dollar Threshold” shall mean {MajorPurchaserThreshold.$}.</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Purchase Price” shall mean {Round.Price.$} per share (subject to any discounts applicable where all or a portion of such Purchase Price is being paid by cancellation of indebtedness of the Company to such Purchaser).</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Total Series Seed Investment Amount” shall mean {Round.Total.$}.</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Unallocated Post-Money Option Pool Percent” shall mean {Cpny.Cap.Option.Unallocated.%}.</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Purchaser Counsel Reimbursement Amount” shall mean {Buyer.Counsel.Reimburse.$}.</w:t>
      </w:r>
    </w:p>
    <w:p>
      <w:pPr>
        <w:pStyle w:val="style0"/>
        <w:numPr>
          <w:ilvl w:val="0"/>
          <w:numId w:val="2"/>
        </w:numPr>
        <w:shd w:fill="FFFFFF" w:val="clear"/>
        <w:spacing w:line="294" w:lineRule="atLeast"/>
        <w:ind w:hanging="360" w:left="768" w:right="0"/>
      </w:pPr>
      <w:r>
        <w:rPr>
          <w:rFonts w:ascii="Helvetica" w:hAnsi="Helvetica"/>
          <w:color w:val="000000"/>
          <w:sz w:val="20"/>
          <w:szCs w:val="20"/>
          <w:u w:val="single"/>
        </w:rPr>
        <w:t>RESULTING CAP TABLE DEFINITIONS</w:t>
      </w:r>
      <w:r>
        <w:rPr>
          <w:rFonts w:ascii="Helvetica" w:hAnsi="Helvetica"/>
          <w:color w:val="000000"/>
          <w:sz w:val="20"/>
          <w:szCs w:val="20"/>
        </w:rPr>
        <w:t>.</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Common Shares Issued and Outstanding Pre-Money” shall mean {Cpny.Cap.Common.Outstanding.PreMoney.#}.</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Total Post-Money Shares Reserved for Option Pool” shall mean {Cpny.Cap.Option.Reserve.#}.</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Number of Issued And Outstanding Options” shall mean {Cpny.Cap.Option.Outstanding.#}.</w:t>
      </w:r>
    </w:p>
    <w:p>
      <w:pPr>
        <w:pStyle w:val="style0"/>
        <w:numPr>
          <w:ilvl w:val="1"/>
          <w:numId w:val="2"/>
        </w:numPr>
        <w:shd w:fill="FFFFFF" w:val="clear"/>
        <w:spacing w:line="360" w:lineRule="atLeast"/>
        <w:ind w:hanging="360" w:left="1536" w:right="0"/>
      </w:pPr>
      <w:r>
        <w:rPr>
          <w:rFonts w:ascii="Helvetica" w:hAnsi="Helvetica"/>
          <w:color w:val="000000"/>
          <w:sz w:val="20"/>
          <w:szCs w:val="20"/>
        </w:rPr>
        <w:t>“</w:t>
      </w:r>
      <w:r>
        <w:rPr>
          <w:rFonts w:ascii="Helvetica" w:hAnsi="Helvetica"/>
          <w:color w:val="000000"/>
          <w:sz w:val="20"/>
          <w:szCs w:val="20"/>
        </w:rPr>
        <w:t>Unallocated Post-Money Option Pool Shares” shall mean {Cpny.Cap.Option.Unallocated.#}.</w:t>
      </w:r>
    </w:p>
    <w:p>
      <w:pPr>
        <w:pStyle w:val="style0"/>
      </w:pPr>
      <w:r>
        <w:rPr>
          <w:rFonts w:ascii="Helvetica" w:hAnsi="Helvetica"/>
          <w:color w:val="000000"/>
          <w:sz w:val="20"/>
          <w:szCs w:val="20"/>
        </w:rPr>
        <w:br/>
      </w:r>
    </w:p>
    <w:p>
      <w:pPr>
        <w:pStyle w:val="style0"/>
        <w:shd w:fill="FFFFFF" w:val="clear"/>
        <w:spacing w:line="294" w:lineRule="atLeast"/>
        <w:jc w:val="center"/>
      </w:pPr>
      <w:r>
        <w:rPr>
          <w:rFonts w:ascii="Helvetica" w:hAnsi="Helvetica"/>
          <w:b/>
          <w:color w:val="000000"/>
          <w:sz w:val="20"/>
          <w:szCs w:val="20"/>
        </w:rPr>
        <w:t>SCHEDULE 1</w:t>
        <w:br/>
        <w:t>SCHEDULE OF PURCHASERS &amp; KEY HOLDERS</w:t>
      </w:r>
    </w:p>
    <w:p>
      <w:pPr>
        <w:pStyle w:val="style0"/>
      </w:pPr>
      <w:r>
        <w:rPr>
          <w:rFonts w:ascii="Helvetica" w:hAnsi="Helvetica"/>
          <w:color w:val="000000"/>
          <w:sz w:val="20"/>
          <w:szCs w:val="20"/>
        </w:rPr>
        <w:br/>
      </w:r>
      <w:r>
        <w:rPr>
          <w:rFonts w:ascii="Helvetica" w:hAnsi="Helvetica"/>
          <w:color w:val="000000"/>
          <w:sz w:val="20"/>
          <w:szCs w:val="20"/>
          <w:shd w:fill="FFFFFF" w:val="clear"/>
        </w:rPr>
        <w:t>PURCHASERS:</w:t>
      </w:r>
    </w:p>
    <w:p>
      <w:pPr>
        <w:pStyle w:val="style0"/>
        <w:shd w:fill="FFFFFF" w:val="clear"/>
        <w:spacing w:line="294" w:lineRule="atLeast"/>
      </w:pPr>
      <w:r>
        <w:rPr>
          <w:rFonts w:ascii="Helvetica" w:cs="Times New Roman" w:hAnsi="Helvetica"/>
          <w:color w:val="000000"/>
          <w:sz w:val="20"/>
          <w:szCs w:val="20"/>
        </w:rPr>
        <w:t>{Buyer.1-N._Row}</w:t>
      </w:r>
    </w:p>
    <w:tbl>
      <w:tblPr>
        <w:jc w:val="left"/>
        <w:tblInd w:type="dxa" w:w="0"/>
        <w:tblBorders>
          <w:top w:val="none"/>
          <w:left w:val="none"/>
          <w:bottom w:val="none"/>
          <w:insideH w:val="none"/>
          <w:right w:val="none"/>
          <w:insideV w:val="none"/>
        </w:tblBorders>
        <w:tblCellMar>
          <w:top w:type="dxa" w:w="15"/>
          <w:left w:type="dxa" w:w="15"/>
          <w:bottom w:type="dxa" w:w="15"/>
          <w:right w:type="dxa" w:w="15"/>
        </w:tblCellMar>
      </w:tblPr>
      <w:tblGrid>
        <w:gridCol w:w="2048"/>
        <w:gridCol w:w="2310"/>
        <w:gridCol w:w="1821"/>
        <w:gridCol w:w="1112"/>
        <w:gridCol w:w="1469"/>
      </w:tblGrid>
      <w:tr>
        <w:trPr>
          <w:cantSplit w:val="false"/>
        </w:trPr>
        <w:tc>
          <w:tcPr>
            <w:tcW w:type="dxa" w:w="2048"/>
            <w:tcBorders>
              <w:top w:val="none"/>
              <w:left w:val="none"/>
              <w:bottom w:val="none"/>
              <w:right w:val="none"/>
            </w:tcBorders>
            <w:shd w:fill="FFFFFF" w:val="clear"/>
            <w:vAlign w:val="center"/>
          </w:tcPr>
          <w:p>
            <w:pPr>
              <w:pStyle w:val="style0"/>
              <w:spacing w:line="294" w:lineRule="atLeast"/>
              <w:jc w:val="center"/>
            </w:pPr>
            <w:r>
              <w:rPr>
                <w:rFonts w:ascii="Helvetica" w:hAnsi="Helvetica"/>
                <w:b/>
                <w:color w:val="000000"/>
                <w:sz w:val="20"/>
                <w:szCs w:val="20"/>
              </w:rPr>
              <w:t>Name, Address and E-Mail of Purchaser</w:t>
            </w:r>
          </w:p>
        </w:tc>
        <w:tc>
          <w:tcPr>
            <w:tcW w:type="dxa" w:w="2310"/>
            <w:tcBorders>
              <w:top w:val="none"/>
              <w:left w:val="none"/>
              <w:bottom w:val="none"/>
              <w:right w:val="none"/>
            </w:tcBorders>
            <w:shd w:fill="FFFFFF" w:val="clear"/>
            <w:vAlign w:val="center"/>
          </w:tcPr>
          <w:p>
            <w:pPr>
              <w:pStyle w:val="style0"/>
              <w:spacing w:line="294" w:lineRule="atLeast"/>
              <w:jc w:val="center"/>
            </w:pPr>
            <w:r>
              <w:rPr>
                <w:rFonts w:ascii="Helvetica" w:hAnsi="Helvetica"/>
                <w:b/>
                <w:color w:val="000000"/>
                <w:sz w:val="20"/>
                <w:szCs w:val="20"/>
              </w:rPr>
              <w:t>Series Seed Preferred Stock Shares Purchased</w:t>
            </w:r>
          </w:p>
        </w:tc>
        <w:tc>
          <w:tcPr>
            <w:tcW w:type="dxa" w:w="1821"/>
            <w:tcBorders>
              <w:top w:val="none"/>
              <w:left w:val="none"/>
              <w:bottom w:val="none"/>
              <w:right w:val="none"/>
            </w:tcBorders>
            <w:shd w:fill="FFFFFF" w:val="clear"/>
            <w:vAlign w:val="center"/>
          </w:tcPr>
          <w:p>
            <w:pPr>
              <w:pStyle w:val="style0"/>
              <w:spacing w:line="294" w:lineRule="atLeast"/>
              <w:jc w:val="center"/>
            </w:pPr>
            <w:r>
              <w:rPr>
                <w:rFonts w:ascii="Helvetica" w:hAnsi="Helvetica"/>
                <w:b/>
                <w:color w:val="000000"/>
                <w:sz w:val="20"/>
                <w:szCs w:val="20"/>
              </w:rPr>
              <w:t>Indebtedness Cancellation</w:t>
            </w:r>
          </w:p>
        </w:tc>
        <w:tc>
          <w:tcPr>
            <w:tcW w:type="dxa" w:w="1112"/>
            <w:tcBorders>
              <w:top w:val="none"/>
              <w:left w:val="none"/>
              <w:bottom w:val="none"/>
              <w:right w:val="none"/>
            </w:tcBorders>
            <w:shd w:fill="FFFFFF" w:val="clear"/>
            <w:vAlign w:val="center"/>
          </w:tcPr>
          <w:p>
            <w:pPr>
              <w:pStyle w:val="style0"/>
              <w:spacing w:line="294" w:lineRule="atLeast"/>
              <w:jc w:val="center"/>
            </w:pPr>
            <w:r>
              <w:rPr>
                <w:rFonts w:ascii="Helvetica" w:hAnsi="Helvetica"/>
                <w:b/>
                <w:color w:val="000000"/>
                <w:sz w:val="20"/>
                <w:szCs w:val="20"/>
              </w:rPr>
              <w:t>Cash Payment</w:t>
            </w:r>
          </w:p>
        </w:tc>
        <w:tc>
          <w:tcPr>
            <w:tcW w:type="dxa" w:w="1469"/>
            <w:tcBorders>
              <w:top w:val="none"/>
              <w:left w:val="none"/>
              <w:bottom w:val="none"/>
              <w:right w:val="none"/>
            </w:tcBorders>
            <w:shd w:fill="FFFFFF" w:val="clear"/>
            <w:vAlign w:val="center"/>
          </w:tcPr>
          <w:p>
            <w:pPr>
              <w:pStyle w:val="style0"/>
              <w:spacing w:line="294" w:lineRule="atLeast"/>
              <w:jc w:val="center"/>
            </w:pPr>
            <w:r>
              <w:rPr>
                <w:rFonts w:ascii="Helvetica" w:hAnsi="Helvetica"/>
                <w:b/>
                <w:color w:val="000000"/>
                <w:sz w:val="20"/>
                <w:szCs w:val="20"/>
              </w:rPr>
              <w:t>Total Purchase Amount</w:t>
            </w:r>
          </w:p>
        </w:tc>
      </w:tr>
    </w:tbl>
    <w:p>
      <w:pPr>
        <w:pStyle w:val="style0"/>
      </w:pPr>
      <w:r>
        <w:rPr>
          <w:rFonts w:ascii="Helvetica" w:hAnsi="Helvetica"/>
          <w:color w:val="000000"/>
          <w:sz w:val="20"/>
          <w:szCs w:val="20"/>
        </w:rPr>
        <w:br/>
      </w:r>
    </w:p>
    <w:p>
      <w:pPr>
        <w:pStyle w:val="style0"/>
        <w:shd w:fill="FFFFFF" w:val="clear"/>
        <w:spacing w:line="294" w:lineRule="atLeast"/>
        <w:jc w:val="center"/>
      </w:pPr>
      <w:r>
        <w:rPr>
          <w:rFonts w:ascii="Helvetica" w:hAnsi="Helvetica"/>
          <w:b/>
          <w:color w:val="000000"/>
          <w:sz w:val="20"/>
          <w:szCs w:val="20"/>
        </w:rPr>
        <w:t>AGREEMENT TERMS</w:t>
      </w:r>
    </w:p>
    <w:p>
      <w:pPr>
        <w:pStyle w:val="style0"/>
        <w:numPr>
          <w:ilvl w:val="0"/>
          <w:numId w:val="3"/>
        </w:numPr>
        <w:shd w:fill="FFFFFF" w:val="clear"/>
        <w:spacing w:line="294" w:lineRule="atLeast"/>
        <w:ind w:hanging="360" w:left="768" w:right="0"/>
      </w:pPr>
      <w:r>
        <w:rPr>
          <w:rFonts w:ascii="Helvetica" w:hAnsi="Helvetica"/>
          <w:color w:val="000000"/>
          <w:sz w:val="20"/>
          <w:szCs w:val="20"/>
          <w:u w:val="single"/>
        </w:rPr>
        <w:t>PURCHASE AND SALE OF SERIES SEED PREFERRED STOCK</w:t>
      </w:r>
    </w:p>
    <w:p>
      <w:pPr>
        <w:pStyle w:val="style0"/>
        <w:numPr>
          <w:ilvl w:val="1"/>
          <w:numId w:val="3"/>
        </w:numPr>
        <w:shd w:fill="FFFFFF" w:val="clear"/>
        <w:spacing w:line="360" w:lineRule="atLeast"/>
        <w:ind w:hanging="360" w:left="1536" w:right="0"/>
      </w:pPr>
      <w:r>
        <w:rPr>
          <w:rFonts w:ascii="Helvetica" w:hAnsi="Helvetica"/>
          <w:color w:val="000000"/>
          <w:sz w:val="20"/>
          <w:szCs w:val="20"/>
          <w:u w:val="single"/>
        </w:rPr>
        <w:t>Sale and Issuance of Series Seed Preferred Stock</w:t>
      </w:r>
      <w:r>
        <w:rPr>
          <w:rFonts w:ascii="Helvetica" w:hAnsi="Helvetica"/>
          <w:color w:val="000000"/>
          <w:sz w:val="20"/>
          <w:szCs w:val="20"/>
        </w:rPr>
        <w:t>.</w:t>
      </w:r>
    </w:p>
    <w:p>
      <w:pPr>
        <w:pStyle w:val="style0"/>
        <w:numPr>
          <w:ilvl w:val="2"/>
          <w:numId w:val="3"/>
        </w:numPr>
        <w:shd w:fill="FFFFFF" w:val="clear"/>
        <w:spacing w:line="360" w:lineRule="atLeast"/>
        <w:ind w:hanging="360" w:left="2304" w:right="0"/>
      </w:pPr>
      <w:r>
        <w:rPr>
          <w:rFonts w:ascii="Helvetica" w:hAnsi="Helvetica"/>
          <w:color w:val="000000"/>
          <w:sz w:val="20"/>
          <w:szCs w:val="20"/>
        </w:rPr>
        <w:t>The Company shall adopt and file the Company’s restated organizational documents, as applicable (e.g. certificate of incorporation), in substantially the form of Exhibit C attached to this Agreement (as the same may be amended, restated, supplemented or otherwise modified from time to time) (the “Restated Charter”) with the Secretary of State of the State of Incorporation on or before the Initial Closing (as defined below).</w:t>
      </w:r>
    </w:p>
    <w:p>
      <w:pPr>
        <w:pStyle w:val="style0"/>
        <w:numPr>
          <w:ilvl w:val="2"/>
          <w:numId w:val="3"/>
        </w:numPr>
        <w:shd w:fill="FFFFFF" w:val="clear"/>
        <w:spacing w:line="360" w:lineRule="atLeast"/>
        <w:ind w:hanging="360" w:left="2304" w:right="0"/>
      </w:pPr>
      <w:r>
        <w:rPr>
          <w:rFonts w:ascii="Helvetica" w:hAnsi="Helvetica"/>
          <w:color w:val="000000"/>
          <w:sz w:val="20"/>
          <w:szCs w:val="20"/>
        </w:rPr>
        <w:t>Subject to the terms and conditions of this Agreement, each investor listed as a “Purchaser” on Schedule 1 hereto (each “Purchaser” and together the “Purchasers”) agrees to purchase at the applicable Closing (as defined below) and the Company agrees to sell and issue to each Purchaser at such Closing that number of shares of Series Seed Preferred Stock of the Company (“Series Seed Preferred Stock”) set forth opposite such Purchaser’s name on Schedule 1, at a purchase price per share equal to the Purchase Price.</w:t>
      </w:r>
    </w:p>
    <w:p>
      <w:pPr>
        <w:pStyle w:val="style0"/>
        <w:numPr>
          <w:ilvl w:val="1"/>
          <w:numId w:val="3"/>
        </w:numPr>
        <w:shd w:fill="FFFFFF" w:val="clear"/>
        <w:spacing w:line="360" w:lineRule="atLeast"/>
        <w:ind w:hanging="360" w:left="1536" w:right="0"/>
      </w:pPr>
      <w:r>
        <w:rPr>
          <w:rFonts w:ascii="Helvetica" w:hAnsi="Helvetica"/>
          <w:color w:val="000000"/>
          <w:sz w:val="20"/>
          <w:szCs w:val="20"/>
          <w:u w:val="single"/>
        </w:rPr>
        <w:t>Closing; Delivery</w:t>
      </w:r>
      <w:r>
        <w:rPr>
          <w:rFonts w:ascii="Helvetica" w:hAnsi="Helvetica"/>
          <w:color w:val="000000"/>
          <w:sz w:val="20"/>
          <w:szCs w:val="20"/>
        </w:rPr>
        <w:t>.</w:t>
      </w:r>
    </w:p>
    <w:p>
      <w:pPr>
        <w:pStyle w:val="style0"/>
        <w:numPr>
          <w:ilvl w:val="2"/>
          <w:numId w:val="3"/>
        </w:numPr>
        <w:shd w:fill="FFFFFF" w:val="clear"/>
        <w:spacing w:line="360" w:lineRule="atLeast"/>
        <w:ind w:hanging="360" w:left="2304" w:right="0"/>
      </w:pPr>
      <w:r>
        <w:rPr>
          <w:rFonts w:ascii="Helvetica" w:hAnsi="Helvetica"/>
          <w:color w:val="000000"/>
          <w:sz w:val="20"/>
          <w:szCs w:val="20"/>
        </w:rPr>
        <w:t>The initial purchase and sale of the shares of Series Seed Preferred Stock hereunder shall take place remotely via the exchange of documents and signatures on the Agreement Date or the subsequent date on which one or more Purchasers execute counterpart signature pages to this Agreement and deliver the Purchase Price to the Company (which date is referred to herein as the “Initial Closing”).</w:t>
      </w:r>
    </w:p>
    <w:p>
      <w:pPr>
        <w:pStyle w:val="style0"/>
        <w:numPr>
          <w:ilvl w:val="2"/>
          <w:numId w:val="3"/>
        </w:numPr>
        <w:shd w:fill="FFFFFF" w:val="clear"/>
        <w:spacing w:line="360" w:lineRule="atLeast"/>
        <w:ind w:hanging="360" w:left="2304" w:right="0"/>
      </w:pPr>
      <w:r>
        <w:rPr>
          <w:rFonts w:ascii="Helvetica" w:hAnsi="Helvetica"/>
          <w:color w:val="000000"/>
          <w:sz w:val="20"/>
          <w:szCs w:val="20"/>
        </w:rPr>
        <w:t>At any time and from time to time during the ninety (90) day period immediately following the Initial Closing (the “Additional Closing Period”), the Company may, at one or more additional closings (each an “Additional Closing” and together with the Initial Closing, each, a “Closing”), without obtaining the signature, consent or permission of any of the Purchasers in the Initial Closing or any prior Additional Closing, offer and sell to other investors (the “New Purchasers”), at a per share purchase price equal to the Purchase Price, up to that number of shares of Series Seed Preferred Stock that is equal to that number of shares of Series Seed Preferred Stock equal to the quotient of (x) Total Series Seed Investment Amount divided by (y) the Purchase Price, rounded up to the next whole share (the “Total Shares Authorized for Sale”) less the number of shares of Series Seed Preferred Stock actually issued and sold by the Company at the Initial Closing and any prior Additional Closings. New Purchasers may include persons or entities who are already Purchasers under this Agreement. The Company and each of the New Purchasers purchasing shares of Series Seed Preferred Stock at each Additional Closing will execute counterpart signature pages to this Agreement and each New Purchaser will, upon delivery by such New Purchaser and acceptance by the Company of such New Purchaser’s signature page and delivery of the Purchase Price by such New Purchaser to the Company, become a party to, and bound by, this Agreement to the same extent as if such New Purchaser had been a Purchaser at the Initial Closing and each such New Purchaser shall be deemed to be a Purchaser for all purposes under this Agreement as of the date of the applicable Additional Closing.</w:t>
      </w:r>
    </w:p>
    <w:p>
      <w:pPr>
        <w:pStyle w:val="style0"/>
        <w:numPr>
          <w:ilvl w:val="2"/>
          <w:numId w:val="3"/>
        </w:numPr>
        <w:shd w:fill="FFFFFF" w:val="clear"/>
        <w:spacing w:line="360" w:lineRule="atLeast"/>
        <w:ind w:hanging="360" w:left="2304" w:right="0"/>
      </w:pPr>
      <w:r>
        <w:rPr>
          <w:rFonts w:ascii="Helvetica" w:hAnsi="Helvetica"/>
          <w:color w:val="000000"/>
          <w:sz w:val="20"/>
          <w:szCs w:val="20"/>
        </w:rPr>
        <w:t>Promptly following each Closing, if required by the Company’s governing documents, the Company shall deliver to each Purchaser participating in such Closing a certificate representing the shares of Series Seed Preferred Stock being purchased by such Purchaser at such Closing against payment of the Purchase Price therefor by check payable to the Company, by wire transfer to a bank account designated by the Company, by cancellation or conversion of indebtedness of the Company to Purchaser or by any combination of such methods.</w:t>
      </w:r>
    </w:p>
    <w:p>
      <w:pPr>
        <w:pStyle w:val="style0"/>
        <w:numPr>
          <w:ilvl w:val="0"/>
          <w:numId w:val="3"/>
        </w:numPr>
        <w:shd w:fill="FFFFFF" w:val="clear"/>
        <w:spacing w:line="294" w:lineRule="atLeast"/>
        <w:ind w:hanging="360" w:left="768" w:right="0"/>
      </w:pPr>
      <w:r>
        <w:rPr>
          <w:rFonts w:ascii="Helvetica" w:hAnsi="Helvetica"/>
          <w:color w:val="000000"/>
          <w:sz w:val="20"/>
          <w:szCs w:val="20"/>
          <w:u w:val="single"/>
        </w:rPr>
        <w:t>REPRESENTATIONS AND WARRANTIES OF THE COMPANY</w:t>
      </w:r>
      <w:r>
        <w:rPr>
          <w:rFonts w:ascii="Helvetica" w:hAnsi="Helvetica"/>
          <w:color w:val="000000"/>
          <w:sz w:val="20"/>
          <w:szCs w:val="20"/>
        </w:rPr>
        <w:t>. The Company hereby represents and warrants to each Purchaser that, except as set forth on the Disclosure Schedule attached as Exhibit D to this Agreement (the “Disclosure Schedule”), if any, which exceptions shall be deemed to be part of the representations and warranties made hereunder, the following representations are true and complete as of the date of the Agreement Date, except as otherwise indicated.</w:t>
      </w:r>
    </w:p>
    <w:p>
      <w:pPr>
        <w:pStyle w:val="style0"/>
        <w:numPr>
          <w:ilvl w:val="1"/>
          <w:numId w:val="3"/>
        </w:numPr>
        <w:shd w:fill="FFFFFF" w:val="clear"/>
        <w:spacing w:line="360" w:lineRule="atLeast"/>
        <w:ind w:hanging="360" w:left="1536" w:right="0"/>
      </w:pPr>
      <w:r>
        <w:rPr>
          <w:rFonts w:ascii="Helvetica" w:hAnsi="Helvetica"/>
          <w:color w:val="000000"/>
          <w:sz w:val="20"/>
          <w:szCs w:val="20"/>
          <w:u w:val="single"/>
        </w:rPr>
        <w:t>Organization, Good Standing, Corporate Power and Qualification</w:t>
      </w:r>
      <w:r>
        <w:rPr>
          <w:rFonts w:ascii="Helvetica" w:hAnsi="Helvetica"/>
          <w:color w:val="000000"/>
          <w:sz w:val="20"/>
          <w:szCs w:val="20"/>
        </w:rPr>
        <w:t>. The Company is a corporation duly organized, validly existing and in good standing under the laws of the State of Incorporation and has all corporate power and corporate authority required (a) to carry on its business as presently conducted and as presently proposed to be conducted and (b) to execute, deliver and perform its obligations under this Agreement. The Company is duly qualified to transact business as a foreign corporation and is in good standing under the laws of each jurisdiction in which the failure to so qualify or be in good standing would have a material adverse effect on the business, assets (including intangible assets), liabilities, financial condition, property, or results of operations of the Company.</w:t>
      </w:r>
    </w:p>
    <w:p>
      <w:pPr>
        <w:pStyle w:val="style0"/>
        <w:numPr>
          <w:ilvl w:val="1"/>
          <w:numId w:val="3"/>
        </w:numPr>
        <w:shd w:fill="FFFFFF" w:val="clear"/>
        <w:spacing w:line="360" w:lineRule="atLeast"/>
        <w:ind w:hanging="360" w:left="1536" w:right="0"/>
      </w:pPr>
      <w:r>
        <w:rPr>
          <w:rFonts w:ascii="Helvetica" w:hAnsi="Helvetica"/>
          <w:color w:val="000000"/>
          <w:sz w:val="20"/>
          <w:szCs w:val="20"/>
          <w:u w:val="single"/>
        </w:rPr>
        <w:t>Capitalization</w:t>
      </w:r>
      <w:r>
        <w:rPr>
          <w:rFonts w:ascii="Helvetica" w:hAnsi="Helvetica"/>
          <w:color w:val="000000"/>
          <w:sz w:val="20"/>
          <w:szCs w:val="20"/>
        </w:rPr>
        <w:t>.</w:t>
      </w:r>
    </w:p>
    <w:p>
      <w:pPr>
        <w:pStyle w:val="style0"/>
        <w:numPr>
          <w:ilvl w:val="2"/>
          <w:numId w:val="3"/>
        </w:numPr>
        <w:shd w:fill="FFFFFF" w:val="clear"/>
        <w:spacing w:line="360" w:lineRule="atLeast"/>
        <w:ind w:hanging="360" w:left="2304" w:right="0"/>
      </w:pPr>
      <w:r>
        <w:rPr>
          <w:rFonts w:ascii="Helvetica" w:hAnsi="Helvetica"/>
          <w:color w:val="000000"/>
          <w:sz w:val="20"/>
          <w:szCs w:val="20"/>
        </w:rPr>
        <w:t>The authorized capital of the Company consists, immediately prior to the Agreement Date (unless otherwise noted), of the following:</w:t>
      </w:r>
    </w:p>
    <w:p>
      <w:pPr>
        <w:pStyle w:val="style0"/>
        <w:numPr>
          <w:ilvl w:val="3"/>
          <w:numId w:val="3"/>
        </w:numPr>
        <w:shd w:fill="FFFFFF" w:val="clear"/>
        <w:spacing w:line="360" w:lineRule="atLeast"/>
        <w:ind w:hanging="360" w:left="3072" w:right="0"/>
      </w:pPr>
      <w:r>
        <w:rPr>
          <w:rFonts w:ascii="Helvetica" w:hAnsi="Helvetica"/>
          <w:color w:val="000000"/>
          <w:sz w:val="20"/>
          <w:szCs w:val="20"/>
        </w:rPr>
        <w:t>The common stock of the Company (the “Common Stock”), of which that number of shares of Common Stock equal to (a) the Common Shares Issued and Outstanding Pre-Money are issued and outstanding as of immediately prior to the Agreement Date, (b) the number of shares of Common Stock which are issuable on conversion of shares of the Series Seed Preferred Stock have been reserved for issuance upon conversion of the Series Seed Preferred Stock and (c) the Total Post-Money Shares Reserved for Option Pool have been reserved for issuance pursuant to the Stock Plan, and of such Total Post-Money Shares Reserved for Option Pool, that number of shares of Common Stock equal to the Number of Issued And Outstanding Options are currently subject to outstanding options and that number of shares of Common Stock equal to the Unallocated Post-Money Option Pool Shares remain available for future issuance to officers, directors, employees and consultants pursuant to the Stock Plan. The ratio determined by dividing (x) the Unallocated Post-Money Option Pool Shares by (y) the Fully-Diluted Share Number (as defined below) is equal to the Unallocated Post-Money Option Pool Percent. All of the outstanding shares of Common Stock are duly authorized, validly issued, fully paid and nonassessable and were issued in material compliance with all applicable federal and state securities laws. The Stock Plan has been duly adopted by the Board of Directors of the Company (the “Board”) and approved by the Company’s stockholders. For purposes of this Agreement, the term “Fully-Diluted Share Number” shall mean that number of shares of the Company’s capital stock equal to the sum of (i) all shares of the Company’s capital stock (on an as-converted basis) issued and outstanding, assuming exercise or conversion of all options, warrants and other convertible securities and (ii) all shares of the Company’s capital stock reserved and available for future grant under any equity incentive or similar plan.</w:t>
      </w:r>
    </w:p>
    <w:p>
      <w:pPr>
        <w:pStyle w:val="style0"/>
        <w:numPr>
          <w:ilvl w:val="3"/>
          <w:numId w:val="3"/>
        </w:numPr>
        <w:shd w:fill="FFFFFF" w:val="clear"/>
        <w:spacing w:line="360" w:lineRule="atLeast"/>
        <w:ind w:hanging="360" w:left="3072" w:right="0"/>
      </w:pPr>
      <w:r>
        <w:rPr>
          <w:rFonts w:ascii="Helvetica" w:hAnsi="Helvetica"/>
          <w:color w:val="000000"/>
          <w:sz w:val="20"/>
          <w:szCs w:val="20"/>
        </w:rPr>
        <w:t>The shares of the preferred stock of the Company (the “Preferred Stock”), all of which is designated as Series Seed Preferred Stock, none of which is issued and outstanding immediately prior to the Agreement Date.</w:t>
      </w:r>
    </w:p>
    <w:p>
      <w:pPr>
        <w:pStyle w:val="style0"/>
        <w:numPr>
          <w:ilvl w:val="3"/>
          <w:numId w:val="3"/>
        </w:numPr>
        <w:shd w:fill="FFFFFF" w:val="clear"/>
        <w:spacing w:line="360" w:lineRule="atLeast"/>
        <w:ind w:hanging="360" w:left="3072" w:right="0"/>
      </w:pPr>
      <w:r>
        <w:rPr>
          <w:rFonts w:ascii="Helvetica" w:hAnsi="Helvetica"/>
          <w:color w:val="000000"/>
          <w:sz w:val="20"/>
          <w:szCs w:val="20"/>
        </w:rPr>
        <w:t>There are no outstanding preemptive rights, options, warrants, conversion privileges or rights (including but not limited to rights of first refusal or similar rights), orally or in writing, to purchase or acquire any securities from the Company including, without limitation, any shares of Common Stock, or Preferred Stock, or any securities convertible into or exchangeable or exercisable for shares of Common Stock or Preferred Stock, except for (a) the conversion privileges of the Series Seed Preferred Stock pursuant to the terms of the Restated Charter and (b) the securities and rights described in this Agreement.</w:t>
      </w:r>
    </w:p>
    <w:p>
      <w:pPr>
        <w:pStyle w:val="style0"/>
        <w:numPr>
          <w:ilvl w:val="3"/>
          <w:numId w:val="3"/>
        </w:numPr>
        <w:shd w:fill="FFFFFF" w:val="clear"/>
        <w:spacing w:line="360" w:lineRule="atLeast"/>
        <w:ind w:hanging="360" w:left="3072" w:right="0"/>
      </w:pPr>
      <w:r>
        <w:rPr>
          <w:rFonts w:ascii="Helvetica" w:hAnsi="Helvetica"/>
          <w:color w:val="000000"/>
          <w:sz w:val="20"/>
          <w:szCs w:val="20"/>
        </w:rPr>
        <w:t>The Key Holders set forth in Schedule 1 (each a “Key Holder”) hold that number of shares of Common Stock set forth opposite each such Key Holder’s name in Section 2.2.3 of the Disclosure Schedule (such shares, the “Key Holders’ Shares”) and such Key Holders’ Shares are subject to vesting and/or the Company’s repurchase right on the terms specified in Section 2.2.3 of the Disclosure Schedule (the “Key Holders’ Vesting Schedules”). Except as specified in Section 2.2.3 of the Disclosure Schedule, the Key Holders do not own or have any other rights to any other securities of the Company. The Key Holders’ Vesting Schedules set forth in Section 2.2.3 of the Disclosure Schedule specify for each Key Holder (i) the vesting commencement date for each issuance of shares to or options held by such Key Holder, (ii) the number of shares or options held by such Key Holder that are currently vested, (iii) the number of shares or options held by such Key Holder that remain subject to vesting and/or the Company’s repurchase right and (iv) the terms and conditions, if any, under which the Key Holders’ Vesting Schedules would be accelerated. Other than the Key Holders’ Shares, which vest pursuant to the applicable Key Holders’ Vesting Schedules, (x) all options granted and Common Stock outstanding vest as follows: twenty-five percent (25%) of the shares vest one (1) year following the vesting commencement date, with the remaining seventy-five percent (75%) vesting in equal installments over the next three (3) years and (y) no stock plan, stock purchase, stock option or other agreement or understanding between the Company and any holder of any equity securities or rights to purchase equity securities provides for acceleration or other changes in the vesting provisions or other terms of such agreement or understanding as the result of (i) termination of employment (whether actual or constructive), (ii) any merger, consolidated sale of stock or assets, change in control or any other transaction(s) by the Company, or (iii) the occurrence of any other event or combination of events.</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Subsidiaries</w:t>
      </w:r>
      <w:r>
        <w:rPr>
          <w:rFonts w:ascii="Helvetica" w:hAnsi="Helvetica"/>
          <w:color w:val="000000"/>
          <w:sz w:val="20"/>
          <w:szCs w:val="20"/>
        </w:rPr>
        <w:t>.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Authorization</w:t>
      </w:r>
      <w:r>
        <w:rPr>
          <w:rFonts w:ascii="Helvetica" w:hAnsi="Helvetica"/>
          <w:color w:val="000000"/>
          <w:sz w:val="20"/>
          <w:szCs w:val="20"/>
        </w:rPr>
        <w:t>. All corporate action has been taken, or will be taken prior to the applicable Closing, on the part of the Board and stockholders that is necessary for the authorization, execution and delivery of this Agreement by the Company and the performance by the Company of the obligations to be performed by the Company as of the date hereof under this Agreement. This Agreement, when executed and delivered by the Company, shall constitute the valid and legally binding obligation of the Company, enforceable against the Company in accordance with its terms except (a) as limited by applicable bankruptcy, insolvency, reorganization, moratorium, fraudulent conveyance, or other laws of general application relating to or affecting the enforcement of creditors’ rights generally, or (b) as limited by laws relating to the availability of specific performance, injunctive relief, or other equitable remedies.</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Valid Issuance of Shares</w:t>
      </w:r>
      <w:r>
        <w:rPr>
          <w:rFonts w:ascii="Helvetica" w:hAnsi="Helvetica"/>
          <w:color w:val="000000"/>
          <w:sz w:val="20"/>
          <w:szCs w:val="20"/>
        </w:rPr>
        <w:t>. The shares of Series Seed Preferred Stock, when issued, sold and delivered in accordance with the terms and for the consideration set forth in this Agreement, will be duly authorized, validly issued, fully paid and nonassessable and free of restrictions on transfer other than restrictions on transfer under this Agreement, applicable state and federal securities laws and liens or encumbrances created by or imposed by a Purchaser. Based in part on the accuracy of the representations of the Purchasers in Section 3 of this Agreement and subject to filings pursuant to Regulation D of the Securities Act of 1933, as amended (the “Securities Act”), and applicable state securities laws, the offer, sale and issuance of the shares of Series Seed Preferred Stock to be issued pursuant to and in conformity with the terms of this Agreement and the issuance of the Common Stock, if any, to be issued upon conversion thereof for no additional consideration and pursuant to the Restated Charter, will be issued in compliance with all applicable federal and state securities laws. The Common Stock issuable upon conversion of the shares of Series Seed Preferred Stock has been duly reserved for issuance, and upon issuance in accordance with the terms of the Restated Charter, will be duly authorized, validly issued, fully paid and nonassessable and free of restrictions on transfer other than restrictions on transfer under this Agreement, applicable federal and state securities laws and liens or encumbrances created by or imposed by a Purchaser. Based in part upon the representations of the Purchasers in Section 3 of this Agreement, and subject to filings pursuant to Regulation D of the Securities Act and applicable state securities laws, the Common Stock issuable upon conversion of the shares of Series Seed Preferred Stock will be issued in compliance with all applicable federal and state securities laws.</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Litigation</w:t>
      </w:r>
      <w:r>
        <w:rPr>
          <w:rFonts w:ascii="Helvetica" w:hAnsi="Helvetica"/>
          <w:color w:val="000000"/>
          <w:sz w:val="20"/>
          <w:szCs w:val="20"/>
        </w:rPr>
        <w:t>. There is no pending action, suit, proceeding, arbitration, mediation, complaint, claim, charge or investigation before any court, arbitrator, mediator or governmental body or, to the Company’s knowledge, currently threatened in writing (a) against the Company or (b) against any consultant, officer, director or key employee of the Company arising out of his or her consulting, employment or board relationship with the Company or that could otherwise materially impact the Company.</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Intellectual Property</w:t>
      </w:r>
      <w:r>
        <w:rPr>
          <w:rFonts w:ascii="Helvetica" w:hAnsi="Helvetica"/>
          <w:color w:val="000000"/>
          <w:sz w:val="20"/>
          <w:szCs w:val="20"/>
        </w:rPr>
        <w:t>. The Company owns or possesses sufficient legal rights to all Intellectual Property (as defined below) that is necessary to the conduct of the Company’s business as now conducted and as presently proposed to be conducted (the “Company Intellectual Property”) without any violation or infringement (or in the case of third-party patents, patent applications, trademarks, trademark applications, service marks, or service mark applications, without any violation or infringement known to the Company) of the rights of others. No product or service marketed or sold (or proposed to be marketed or sold) by the Company violates or will violate any license or infringes or will infringe any rights to any patents, patent applications, trademarks, trademark applications, service marks, trade names, copyrights, trade secrets, licenses, domain names, mask works, information and proprietary rights and processes (collectively, “Intellectual Property”) of any other party, except that with respect to third-party patents, patent applications, trademarks, trademark applications, service marks, or service mark applications the foregoing representation is made to the Company’s knowledge only. Other than with respect to commercially available software products under standard end-user object code license agreements, there is no outstanding option, license, agreement, claim, encumbrance or shared ownership interest of any kind relating to the Company Intellectual Property, nor is the Company bound by or a party to any options, licenses or agreements of any kind with respect to the Intellectual Property of any other person. The Company has not received any written communications alleging that the Company has violated or, by conducting its business, would violate any of the Intellectual Property of any other person.</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Employee and Consultant Matters</w:t>
      </w:r>
      <w:r>
        <w:rPr>
          <w:rFonts w:ascii="Helvetica" w:hAnsi="Helvetica"/>
          <w:color w:val="000000"/>
          <w:sz w:val="20"/>
          <w:szCs w:val="20"/>
        </w:rPr>
        <w:t>. Each current and former employee, consultant and officer of the Company has executed an agreement with the Company regarding confidentiality and proprietary information substantially in the form or forms made available to the Purchasers or delivered to the counsel for the Purchasers. No current or former employee or consultant has excluded any work or invention from his or her assignment of inventions. To the Company’s knowledge, no such employees or consultants is in violation thereof. To the Company’s knowledge, none of its employees is obligated under any judgment, decree, contract, covenant or agreement that would materially interfere with such employee’s ability to promote the interest of the Company or that would interfere with such employee’s ability to promote the interests of the Company or that would conflict with the Company’s business. To the Company’s knowledge, all individuals who have purchased unvested shares of the Company’s Common Stock have timely filed elections under Section 83(b) of the Internal Revenue Code of 1986, as amended.</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Compliance with Other Instruments</w:t>
      </w:r>
      <w:r>
        <w:rPr>
          <w:rFonts w:ascii="Helvetica" w:hAnsi="Helvetica"/>
          <w:color w:val="000000"/>
          <w:sz w:val="20"/>
          <w:szCs w:val="20"/>
        </w:rPr>
        <w:t>. The Company is not in violation or default (a) of any provisions of the Restated Charter or the Company’s bylaws, (b) of any judgment, order, writ or decree of any court or governmental entity, (c) under any agreement, instrument, contract, lease, note, indenture, mortgage or purchase order to which it is a party that is required to be listed on the Disclosure Schedule, or, (d) to its knowledge, of any provision of federal or state statute, rule or regulation materially applicable to the Company. The execution, delivery and performance of this Agreement and the consummation of the transactions contemplated by this Agreement will not result in any such violation or default, or constitute, with or without the passage of time and giving of notice, either (i) a default under any such judgment, order, writ, decree, agreement, instrument, contract, lease, note, indenture, mortgage or purchase order or (ii) an event which results in the creation of any lien, charge or encumbrance upon any assets of the Company or the suspension, revocation, forfeiture, or nonrenewal of any material permit or license applicable to the Company.</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Title to Property and Assets</w:t>
      </w:r>
      <w:r>
        <w:rPr>
          <w:rFonts w:ascii="Helvetica" w:hAnsi="Helvetica"/>
          <w:color w:val="000000"/>
          <w:sz w:val="20"/>
          <w:szCs w:val="20"/>
        </w:rPr>
        <w:t>. The Company owns its properties and assets free and clear of all mortgages, deeds of trust, liens, encumbrances and security interests except for statutory liens for the payment of current taxes that are not yet delinquent and liens, encumbrances and security interests which arise in the ordinary course of business and which do not affect material properties and assets of the Company. With respect to the property and assets it leases, the Company is in material compliance with each such lease.</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Agreements</w:t>
      </w:r>
      <w:r>
        <w:rPr>
          <w:rFonts w:ascii="Helvetica" w:hAnsi="Helvetica"/>
          <w:color w:val="000000"/>
          <w:sz w:val="20"/>
          <w:szCs w:val="20"/>
        </w:rPr>
        <w:t>. Except for this Agreement, there are no agreements, understandings, instruments, contracts or proposed transactions to which the Company is a party that involve (a) obligations (contingent or otherwise) of, or payments to, the Company in excess of $50,000, (b) the license of any Intellectual Property to or from the Company other than licenses with respect to commercially available software products under standard end-user object code license agreements or standard customer terms of service and privacy policies for Internet sites, (c) the grant of rights to manufacture, produce, assemble, license, market, or sell its products to any other person, or that limit the Company’s exclusive right to develop, manufacture, assemble, distribute, market or sell its products, or (d) indemnification by the Company with respect to infringements of proprietary rights other than standard customer or channel agreements (each, a “Material Agreement”). The Company is not in material breach of any Material Agreement. Each Material Agreement is in full force and effect and is enforceable by the Company in accordance with its respective terms, except as may be limited by (i) applicable bankruptcy, insolvency, reorganization or others laws of general application relating to or affecting the enforcement of creditors’ rights generally, or (ii) the effect of rules of law governing the availability of equitable remedies.</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Liabilities</w:t>
      </w:r>
      <w:r>
        <w:rPr>
          <w:rFonts w:ascii="Helvetica" w:hAnsi="Helvetica"/>
          <w:color w:val="000000"/>
          <w:sz w:val="20"/>
          <w:szCs w:val="20"/>
        </w:rPr>
        <w:t>. The Company has no liabilities or obligations, contingent or otherwise, in excess of $25,000 individually or $100,000 in the aggregate.</w:t>
      </w:r>
    </w:p>
    <w:p>
      <w:pPr>
        <w:pStyle w:val="style0"/>
        <w:numPr>
          <w:ilvl w:val="1"/>
          <w:numId w:val="3"/>
        </w:numPr>
        <w:shd w:fill="FFFFFF" w:val="clear"/>
        <w:spacing w:line="360" w:lineRule="atLeast"/>
        <w:ind w:hanging="360" w:left="1536" w:right="0"/>
      </w:pPr>
      <w:r>
        <w:rPr>
          <w:rFonts w:ascii="Helvetica" w:hAnsi="Helvetica"/>
          <w:color w:val="000000"/>
          <w:sz w:val="20"/>
          <w:szCs w:val="20"/>
          <w:u w:val="single"/>
        </w:rPr>
        <w:t>REPRESENTATIONS AND WARRANTIES AND COVENANTS OF THE PURCHASERS</w:t>
      </w:r>
      <w:r>
        <w:rPr>
          <w:rFonts w:ascii="Helvetica" w:hAnsi="Helvetica"/>
          <w:color w:val="000000"/>
          <w:sz w:val="20"/>
          <w:szCs w:val="20"/>
        </w:rPr>
        <w:t>. Each Purchaser hereby represents and warrants to the Company, severally and not jointly, as follows.</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Authorization</w:t>
      </w:r>
      <w:r>
        <w:rPr>
          <w:rFonts w:ascii="Helvetica" w:hAnsi="Helvetica"/>
          <w:color w:val="000000"/>
          <w:sz w:val="20"/>
          <w:szCs w:val="20"/>
        </w:rPr>
        <w:t>. The Purchaser has full power and authority to enter into this Agreement. This Agreement, when executed and delivered by the Purchaser, will constitute a valid and legally binding obligation of the Purchaser, enforceable in accordance with their terms, except (a) as limited by applicable bankruptcy, insolvency, reorganization, moratorium, fraudulent conveyance, and any other laws of general application relating to or affecting the enforcement of creditors’ rights generally, or (b) the effect of rules of law governing the availability of equitable remedies.</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Purchase Entirely for Own Account</w:t>
      </w:r>
      <w:r>
        <w:rPr>
          <w:rFonts w:ascii="Helvetica" w:hAnsi="Helvetica"/>
          <w:color w:val="000000"/>
          <w:sz w:val="20"/>
          <w:szCs w:val="20"/>
        </w:rPr>
        <w:t>. This Agreement is made with the Purchaser in reliance upon the Purchaser’s representation to the Company, which by the Purchaser’s execution of this Agreement, the Purchaser hereby confirms, that the shares of Series Seed Preferred Stock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of Series Seed Preferred Stock. The Purchaser has not been formed for the specific purpose of acquiring the shares of Series Seed Preferred Stock.</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Disclosure of Information</w:t>
      </w:r>
      <w:r>
        <w:rPr>
          <w:rFonts w:ascii="Helvetica" w:hAnsi="Helvetica"/>
          <w:color w:val="000000"/>
          <w:sz w:val="20"/>
          <w:szCs w:val="20"/>
        </w:rPr>
        <w:t>. The Purchaser has had an opportunity to discuss the Company’s business, management, financial affairs and the terms and conditions of the offering of the shares of Series Seed Preferred Stock with the Company’s management. Nothing in this Section 3, including the foregoing sentence, limits or modifies the representations and warranties of the Company in Section 2 of this Agreement or the right of the Purchasers to rely thereon.</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Restricted Securities</w:t>
      </w:r>
      <w:r>
        <w:rPr>
          <w:rFonts w:ascii="Helvetica" w:hAnsi="Helvetica"/>
          <w:color w:val="000000"/>
          <w:sz w:val="20"/>
          <w:szCs w:val="20"/>
        </w:rPr>
        <w:t>. The Purchaser understands that the shares of Series Seed Preferred Stock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of Series Seed Preferred Stock are “restricted securities” under applicable United States federal and state securities laws and that, pursuant to these laws, the Purchaser must hold the shares of Series Seed Preferred Stock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of Series Seed Preferred Stock, or the Common Stock into which it may be converted, for resale. The Purchaser further acknowledges that if an exemption from registration or qualification is available, it may be conditioned on various requirements including, but not limited to, the time and manner of sale, the holding period for the shares of Series Seed Preferred Stock, and on requirements relating to the Company which are outside of the Purchaser’s control, and which the Company is under no obligation and may not be able to satisfy.</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No Public Market</w:t>
      </w:r>
      <w:r>
        <w:rPr>
          <w:rFonts w:ascii="Helvetica" w:hAnsi="Helvetica"/>
          <w:color w:val="000000"/>
          <w:sz w:val="20"/>
          <w:szCs w:val="20"/>
        </w:rPr>
        <w:t>. The Purchaser understands that no public market now exists for the shares of Series Seed Preferred Stock, and that the Company has made no assurances that a public market will ever exist for the shares of Series Seed Preferred Stock.</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Legends</w:t>
      </w:r>
      <w:r>
        <w:rPr>
          <w:rFonts w:ascii="Helvetica" w:hAnsi="Helvetica"/>
          <w:color w:val="000000"/>
          <w:sz w:val="20"/>
          <w:szCs w:val="20"/>
        </w:rPr>
        <w:t>. The Purchaser understands that the shares of Series Seed Preferred Stock and any securities issued in respect of or exchange for the shares of Series Seed Preferred Stock, may bear any one or more of the following legends: (a) any legend set forth in, or required by, this Agreement; (b) any legend required by the securities laws of any state to the extent such laws are applicable to the shares of Series Seed Preferred Stock represented by the certificate so legended; and (c) the following legend: “THE SHARES REPRESENTED BY THIS CERTIFICATE HAVE NOT BEEN REGISTERED UNDER THE SECURITIES ACT OF 1933, AS AMENDED, AND HAVE BEEN ACQUIRED FOR INVESTMENT AND NOT WITH A VIEW TO, OR IN CONNECTION WITH, THE SALE OR DISTRIBUTION THEREOF. NO TRANSFER MAY BE EFFECTED WITHOUT AN EFFECTIVE REGISTRATION STATEMENT RELATED THERETO OR AN OPINION OF COUNSEL IN A FORM REASONABLY SATISFACTORY TO THE COMPANY THAT SUCH REGISTRATION IS NOT REQUIRED UNDER THE SECURITIES ACT OF 1933, AS AMENDED.”</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Accredited and Sophisticated Purchaser</w:t>
      </w:r>
      <w:r>
        <w:rPr>
          <w:rFonts w:ascii="Helvetica" w:hAnsi="Helvetica"/>
          <w:color w:val="000000"/>
          <w:sz w:val="20"/>
          <w:szCs w:val="20"/>
        </w:rPr>
        <w:t>. The Purchaser is an accredited investor as defined in Rule 501(a) of Regulation D promulgated under the Securities Act. The Purchaser is an investor in securities of companies in the development stage and acknowledges that Purchaser is able to fend for itself, can bear the economic risk of its investment, and has such knowledge and experience in financial or business matters that it is capable of evaluating the merits and risks of the investment in the shares of Series Seed Preferred Stock. If other than an individual, Purchaser also represents it has not been organized for the purpose of acquiring the shares of Series Seed Preferred Stock.</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No General Solicitation</w:t>
      </w:r>
      <w:r>
        <w:rPr>
          <w:rFonts w:ascii="Helvetica" w:hAnsi="Helvetica"/>
          <w:color w:val="000000"/>
          <w:sz w:val="20"/>
          <w:szCs w:val="20"/>
        </w:rPr>
        <w:t>. Neither the Purchaser nor any of its officers, directors, employees, agents, stockholders or partners has either directly or indirectly, including through a broker or finder (a) engaged in any general solicitation with respect to the offer and sale of the shares of Series Seed Preferred Stock, or (b) published any advertisement in connection with the offer and sale of the shares of Series Seed Preferred Stock.</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Exculpation Among Purchasers</w:t>
      </w:r>
      <w:r>
        <w:rPr>
          <w:rFonts w:ascii="Helvetica" w:hAnsi="Helvetica"/>
          <w:color w:val="000000"/>
          <w:sz w:val="20"/>
          <w:szCs w:val="20"/>
        </w:rPr>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 of Series Seed Preferred Stock.</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Residence</w:t>
      </w:r>
      <w:r>
        <w:rPr>
          <w:rFonts w:ascii="Helvetica" w:hAnsi="Helvetica"/>
          <w:color w:val="000000"/>
          <w:sz w:val="20"/>
          <w:szCs w:val="20"/>
        </w:rPr>
        <w:t>. If the Purchaser is an individual, then the Purchaser resides in the state identified in the address of the Purchaser set forth on the signature page hereto and/or on Schedule 1; if the Purchaser is a partnership, corporation, limited liability company or other entity, then the office or offices of the Purchaser in which its principal place of business is identified in the address or addresses of the Purchaser set forth on the signature page hereto and/or on Schedule 1. In the event that the Purchaser is not a resident of the United States, such Purchaser hereby agrees to make such additional representations and warranties relating to such Purchaser’s status as a non-United States resident as reasonably may be requested by the Company and to execute and deliver such documents or agreements as reasonably may be requested by the Company relating thereto as a condition to the purchase and sale of any shares of Series Seed Preferred Stock by such Purchaser.</w:t>
      </w:r>
    </w:p>
    <w:p>
      <w:pPr>
        <w:pStyle w:val="style0"/>
        <w:numPr>
          <w:ilvl w:val="1"/>
          <w:numId w:val="3"/>
        </w:numPr>
        <w:shd w:fill="FFFFFF" w:val="clear"/>
        <w:spacing w:line="360" w:lineRule="atLeast"/>
        <w:ind w:hanging="360" w:left="1536" w:right="0"/>
      </w:pPr>
      <w:r>
        <w:rPr>
          <w:rFonts w:ascii="Helvetica" w:hAnsi="Helvetica"/>
          <w:color w:val="000000"/>
          <w:sz w:val="20"/>
          <w:szCs w:val="20"/>
          <w:u w:val="single"/>
        </w:rPr>
        <w:t>COVENANTS OF THE COMPANY</w:t>
      </w:r>
      <w:r>
        <w:rPr>
          <w:rFonts w:ascii="Helvetica" w:hAnsi="Helvetica"/>
          <w:color w:val="000000"/>
          <w:sz w:val="20"/>
          <w:szCs w:val="20"/>
        </w:rPr>
        <w: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Information Rights</w:t>
      </w:r>
      <w:r>
        <w:rPr>
          <w:rFonts w:ascii="Helvetica" w:hAnsi="Helvetica"/>
          <w:color w:val="000000"/>
          <w:sz w:val="20"/>
          <w:szCs w:val="20"/>
        </w:rPr>
        <w:t>.</w:t>
      </w:r>
    </w:p>
    <w:p>
      <w:pPr>
        <w:pStyle w:val="style0"/>
        <w:numPr>
          <w:ilvl w:val="3"/>
          <w:numId w:val="3"/>
        </w:numPr>
        <w:shd w:fill="FFFFFF" w:val="clear"/>
        <w:spacing w:line="360" w:lineRule="atLeast"/>
        <w:ind w:hanging="360" w:left="3072" w:right="0"/>
      </w:pPr>
      <w:r>
        <w:rPr>
          <w:rFonts w:ascii="Helvetica" w:hAnsi="Helvetica"/>
          <w:color w:val="000000"/>
          <w:sz w:val="20"/>
          <w:szCs w:val="20"/>
          <w:u w:val="single"/>
        </w:rPr>
        <w:t>Basic Financial Information</w:t>
      </w:r>
      <w:r>
        <w:rPr>
          <w:rFonts w:ascii="Helvetica" w:hAnsi="Helvetica"/>
          <w:color w:val="000000"/>
          <w:sz w:val="20"/>
          <w:szCs w:val="20"/>
        </w:rPr>
        <w:t>. The Company will furnish to each Purchaser holding that number of shares equal to or in excess of the quotient determined by dividing (x) the Major Purchaser Dollar Threshold by (y) the Purchase Price, rounded up to the next whole share (a “Major Purchaser”) and any entity which requires such information pursuant to its organizational documents when available (1) annual unaudited financial statements for each fiscal year of the Company, including an unaudited balance sheet as of the end of such fiscal year, an unaudited statement of operations and an unaudited statement of cash flows of the Company for such year, all prepared in accordance with generally accepted accounting principles and practices; and (2) quarterly unaudited financial statements for each fiscal quarter of the Company (except the last quarter of the Company’s fiscal year), including an unaudited balance sheet as of the end of such fiscal quarter, an unaudited statement of operations and an unaudited statement of cash flows of the Company for such quarter, all prepared in accordance with generally accepted accounting principles and practices, subject to changes resulting from normal year-end audit adjustments. If the Company has audited records of any of the foregoing, it shall provide those in lieu of the unaudited versions.</w:t>
      </w:r>
    </w:p>
    <w:p>
      <w:pPr>
        <w:pStyle w:val="style0"/>
        <w:numPr>
          <w:ilvl w:val="3"/>
          <w:numId w:val="3"/>
        </w:numPr>
        <w:shd w:fill="FFFFFF" w:val="clear"/>
        <w:spacing w:line="360" w:lineRule="atLeast"/>
        <w:ind w:hanging="360" w:left="3072" w:right="0"/>
      </w:pPr>
      <w:r>
        <w:rPr>
          <w:rFonts w:ascii="Helvetica" w:hAnsi="Helvetica"/>
          <w:color w:val="000000"/>
          <w:sz w:val="20"/>
          <w:szCs w:val="20"/>
          <w:u w:val="single"/>
        </w:rPr>
        <w:t>Confidentiality</w:t>
      </w:r>
      <w:r>
        <w:rPr>
          <w:rFonts w:ascii="Helvetica" w:hAnsi="Helvetica"/>
          <w:color w:val="000000"/>
          <w:sz w:val="20"/>
          <w:szCs w:val="20"/>
        </w:rPr>
        <w:t>. Anything in this Agreement to the contrary notwithstanding, no Purchaser by reason of this Agreement shall have access to any trade secrets or confidential information of the Company. The Company shall not be required to comply with any information rights in respect of any Purchaser whom the Company reasonably determines to be a competitor or an officer, employee, director or holder of ten percent (10%) or more of a competitor. Each Purchaser agrees that such Purchaser will keep confidential and will not disclose, divulge, or use for any purpose (other than to monitor its investment in the Company) any confidential information obtained from the Company pursuant to the terms of this Agreement other than to any of the Purchaser’s attorneys, accountants, consultants, and other professionals, to the extent necessary to obtain their services in connection with monitoring the Purchaser’s investment in the Company.</w:t>
      </w:r>
    </w:p>
    <w:p>
      <w:pPr>
        <w:pStyle w:val="style0"/>
        <w:numPr>
          <w:ilvl w:val="3"/>
          <w:numId w:val="3"/>
        </w:numPr>
        <w:shd w:fill="FFFFFF" w:val="clear"/>
        <w:spacing w:line="360" w:lineRule="atLeast"/>
        <w:ind w:hanging="360" w:left="3072" w:right="0"/>
      </w:pPr>
      <w:r>
        <w:rPr>
          <w:rFonts w:ascii="Helvetica" w:hAnsi="Helvetica"/>
          <w:color w:val="000000"/>
          <w:sz w:val="20"/>
          <w:szCs w:val="20"/>
          <w:u w:val="single"/>
        </w:rPr>
        <w:t>Inspection Rights</w:t>
      </w:r>
      <w:r>
        <w:rPr>
          <w:rFonts w:ascii="Helvetica" w:hAnsi="Helvetica"/>
          <w:color w:val="000000"/>
          <w:sz w:val="20"/>
          <w:szCs w:val="20"/>
        </w:rPr>
        <w:t>. The Company shall permit each Major Purchaser to visit and inspect the Company’s properties, to examine its books of account and records and to discuss the Company’s affairs, finances and accounts with its officers, all at such reasonable times as may be requested by such Major Purchaser.</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Additional Rights</w:t>
      </w:r>
      <w:r>
        <w:rPr>
          <w:rFonts w:ascii="Helvetica" w:hAnsi="Helvetica"/>
          <w:color w:val="000000"/>
          <w:sz w:val="20"/>
          <w:szCs w:val="20"/>
        </w:rPr>
        <w:t>. In the event that the Company issues securities in its next equity financing after the date hereof (the “Next Financing”) which (a) have rights, preferences or privileges that are more favorable than the terms of the shares of Series Seed Preferred Stock, such as price based anti-dilution protection, or (b) provides all such future investors other contractual terms such as preemptive rights or registration rights, the Company shall provide substantially equivalent rights to the Purchasers with respect to the shares of Series Seed Preferred Stock (with appropriate adjustment for economic terms or other contractual rights), subject to such Purchaser’s execution of any documents, including, if applicable, investors’ rights, co-sale, voting and other agreements, executed by the investors purchasing securities in the Next Financing (such documents referred to herein as the “Next Financing Documents”). Any Major Purchaser will remain a Major Purchaser for all purposes in the Next Financing Documents to the extent such concept exists. The Company shall pay the reasonable fees and expenses, not to exceed {Buyer.Counsel.Fee.NotExceed.$} in the aggregate, of one counsel for the Purchasers in connection with the Purchasers’ review, execution and delivery of the Next Financing Documents. Notwithstanding anything herein to the contrary, subject to the provisions of Section 8.11, upon the execution and delivery of the Next Financing Documents by Purchasers holding a majority of the then outstanding shares of Series Seed Preferred Stock held by all Purchasers, this Agreement (excluding any then-existing and outstanding obligations) shall be amended and restated by and into such Next Financing Documents and shall be terminated and of no further force or effect.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Assignment of Company’s Preemptive Rights</w:t>
      </w:r>
      <w:r>
        <w:rPr>
          <w:rFonts w:ascii="Helvetica" w:hAnsi="Helvetica"/>
          <w:color w:val="000000"/>
          <w:sz w:val="20"/>
          <w:szCs w:val="20"/>
        </w:rPr>
        <w:t>. The Company has, or will obtain at or prior to the Initial Closing, and will maintain, a right of first refusal with respect to transfers of shares of Common Stock by each holder thereof, subject to certain standard exceptions. In the event the Company elects not to exercise its right of first refusal with respect to a proposed transfer of the Company’s outstanding securities by any Key Holder, the Company shall assign such right of first refusal to the Major Purchasers. In the event of such assignment, each Major Purchaser shall have a right to purchase that portion of the securities proposed to be transferred by such Key Holder equal to the ratio of (a) the number of shares of the Company’s Common Stock issued or issuable upon conversion of the shares of Series Seed Preferred Stock owned by such Major Purchaser, to (b) the number of shares of the Company’s Common Stock issued or issuable upon conversion of the shares of Series Seed Preferred Stock owned by all Major Purchasers.</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Reservation of Common Stock</w:t>
      </w:r>
      <w:r>
        <w:rPr>
          <w:rFonts w:ascii="Helvetica" w:hAnsi="Helvetica"/>
          <w:color w:val="000000"/>
          <w:sz w:val="20"/>
          <w:szCs w:val="20"/>
        </w:rPr>
        <w:t>. The Company will at all times reserve and keep available, solely for issuance and delivery upon the conversion of the Series Seed Preferred Stock, all Common Stock issuable from time to time upon conversion of that number of shares of Series Seed Preferred Stock equal to the Total Shares Authorized for Sale, regardless of whether or not all such shares have been issued at such time.</w:t>
      </w:r>
    </w:p>
    <w:p>
      <w:pPr>
        <w:pStyle w:val="style0"/>
        <w:numPr>
          <w:ilvl w:val="1"/>
          <w:numId w:val="3"/>
        </w:numPr>
        <w:shd w:fill="FFFFFF" w:val="clear"/>
        <w:spacing w:line="360" w:lineRule="atLeast"/>
        <w:ind w:hanging="360" w:left="1536" w:right="0"/>
      </w:pPr>
      <w:r>
        <w:rPr>
          <w:rFonts w:ascii="Helvetica" w:hAnsi="Helvetica"/>
          <w:color w:val="000000"/>
          <w:sz w:val="20"/>
          <w:szCs w:val="20"/>
          <w:u w:val="single"/>
        </w:rPr>
        <w:t>RESTRICTIONS ON TRANSFER; DRAG ALONG</w:t>
      </w:r>
      <w:r>
        <w:rPr>
          <w:rFonts w:ascii="Helvetica" w:hAnsi="Helvetica"/>
          <w:color w:val="000000"/>
          <w:sz w:val="20"/>
          <w:szCs w:val="20"/>
        </w:rPr>
        <w: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Limitations on Disposition</w:t>
      </w:r>
      <w:r>
        <w:rPr>
          <w:rFonts w:ascii="Helvetica" w:hAnsi="Helvetica"/>
          <w:color w:val="000000"/>
          <w:sz w:val="20"/>
          <w:szCs w:val="20"/>
        </w:rPr>
        <w:t>. Each person owning of record shares of Common Stock of the Company issued or issuable pursuant to the conversion of the shares of Series Seed Preferred Stock and any shares of Common Stock of the Company issued as a dividend or other distribution with respect thereto or in exchange therefor or in replacement thereof (collectively, the “Securities”) or any assignee of record of Securities (each such person, a “Holder”) hereby agrees not to make any disposition of all or any portion of any Securities unless and until:</w:t>
      </w:r>
    </w:p>
    <w:p>
      <w:pPr>
        <w:pStyle w:val="style0"/>
        <w:numPr>
          <w:ilvl w:val="3"/>
          <w:numId w:val="3"/>
        </w:numPr>
        <w:shd w:fill="FFFFFF" w:val="clear"/>
        <w:spacing w:line="360" w:lineRule="atLeast"/>
        <w:ind w:hanging="360" w:left="3072" w:right="0"/>
      </w:pPr>
      <w:r>
        <w:rPr>
          <w:rFonts w:ascii="Helvetica" w:hAnsi="Helvetica"/>
          <w:color w:val="000000"/>
          <w:sz w:val="20"/>
          <w:szCs w:val="20"/>
        </w:rPr>
        <w:t>there is then in effect a registration statement under the Securities Act, covering such proposed disposition and such disposition is made in accordance with such registration statement; or</w:t>
      </w:r>
    </w:p>
    <w:p>
      <w:pPr>
        <w:pStyle w:val="style0"/>
        <w:numPr>
          <w:ilvl w:val="3"/>
          <w:numId w:val="3"/>
        </w:numPr>
        <w:shd w:fill="FFFFFF" w:val="clear"/>
        <w:spacing w:line="360" w:lineRule="atLeast"/>
        <w:ind w:hanging="360" w:left="3072" w:right="0"/>
      </w:pPr>
      <w:r>
        <w:rPr>
          <w:rFonts w:ascii="Helvetica" w:hAnsi="Helvetica"/>
          <w:color w:val="000000"/>
          <w:sz w:val="20"/>
          <w:szCs w:val="20"/>
        </w:rPr>
        <w:t>such Holder shall have notified the Company of the proposed disposition and shall have furnished the Company with a statement of the circumstances surrounding the proposed disposition, and, at the expense of such Holder or its transferee, with an opinion of counsel, reasonably satisfactory to the Company, that such disposition will not require registration of such securities under the Securities Act.</w:t>
      </w:r>
    </w:p>
    <w:p>
      <w:pPr>
        <w:pStyle w:val="style0"/>
        <w:shd w:fill="FFFFFF" w:val="clear"/>
        <w:spacing w:line="360" w:lineRule="atLeast"/>
        <w:ind w:hanging="0" w:left="2304" w:right="0"/>
      </w:pPr>
      <w:r>
        <w:rPr>
          <w:rFonts w:ascii="Helvetica" w:hAnsi="Helvetica"/>
          <w:color w:val="000000"/>
          <w:sz w:val="20"/>
          <w:szCs w:val="20"/>
        </w:rPr>
        <w:t>Notwithstanding the provisions of Sections 5.1(a) and (b) above, no such registration statement or opinion of counsel shall be required: (i) for any transfer of any Securities in compliance with the Securities and Exchange Commission’s Rule 144 or Rule 144A, or (ii) for any transfer of any Securities by a Holder that is a partnership, limited liability company, a corporation or a venture capital fund to (A) a partner of such partnership, a member of such limited liability company or stockholder of such corporation, (B) an affiliate of such partnership, limited liability company or corporation (including, without limitation, any affiliated investment fund of such Holder), (C) a retired partner of such partnership or a retired member of such limited liability company, (D) the estate of any such partner, member or stockholder, or (iii) for the transfer by gift, will or intestate succession by any Holder to his or her spouse or lineal descendants or ancestors or any trust for any of the foregoing; provided that in the case of clauses (ii) and (iii) the transferee agrees in writing to be subject to the terms of this Agreement to the same extent as if the transferee were an original Purchaser hereunder and in the case of clause (iii) the transfer was without additional consideration or at no greater than cost.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w:t>
      </w:r>
      <w:r>
        <w:rPr>
          <w:rFonts w:ascii="Helvetica" w:hAnsi="Helvetica"/>
          <w:color w:val="000000"/>
          <w:sz w:val="20"/>
          <w:szCs w:val="20"/>
          <w:u w:val="single"/>
        </w:rPr>
        <w:t>Market Stand-Off” Agreement</w:t>
      </w:r>
      <w:r>
        <w:rPr>
          <w:rFonts w:ascii="Helvetica" w:hAnsi="Helvetica"/>
          <w:color w:val="000000"/>
          <w:sz w:val="20"/>
          <w:szCs w:val="20"/>
        </w:rPr>
        <w:t>. Each Holder hereby agrees that it shall not, to the extent requested by the Company or an underwriter of securities of the Company, sell or otherwise transfer or dispose of any Securities or other shares of stock of the Company then owned by such Holder (other than to donees or partners of the Holder who agree to be similarly bound) for up to one hundred eighty (180) days following the effective date of any registration statement of the Company filed under the Securities Act; provided however that, if during the last seventeen (17) days of the restricted period the Company issues an earnings release or material news or a material event relating to the Company occurs, or prior to the expiration of the restricted period the Company announces that it will release earnings results during the 16-day period beginning on the last day of the restricted period, and if the Company’s securities are listed on the Nasdaq Stock Market and Rule 2711 thereof applies, then the restrictions imposed by this Section 5.2 shall continue to apply until the expiration of the 18-day period beginning on the issuance of the earnings release or the occurrence of the material news or material event; provided, further, that such automatic extension shall not apply to the extent that the Financial Industry Regulatory Authority has amended or repealed NASD Rule 2711(f)(4), or has otherwise provided written interpretive guidance regarding such rule, in each case, so as to eliminate the prohibition of any broker, dealer, or member of a national securities association from publishing or distributing any research report, with respect to the securities of an emerging growth company (as defined in the Jumpstart Our Business Startups Act of 2012) prior to or after the expiration of any agreement between the broker, dealer, or member of a national securities association and the emerging growth company or its stockholders that restricts or prohibits the sale of securities held by the emerging growth company or its stockholders after the initial public offering date. In no event will the restricted period extend beyond two hundred fifteen (215) days after the effective date of the registration statement. For purposes of this Section 5.2, the term “Company” shall include any wholly-owned subsidiary of the Company into which the Company merges or consolidates. To enforce the foregoing covenant, the Company shall have the right to place restrictive legends on the certificates representing the shares subject to this Section 5.2 and to impose stop transfer instructions with respect to the Securities and such other shares of stock of each Holder (and the shares or securities of every other person subject to the foregoing restriction) until the end of such period. Each Holder further agrees to enter into any agreement reasonably required by the underwriters to implement the foregoing within any reasonable timeframe so requested.</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Drag Along Right</w:t>
      </w:r>
      <w:r>
        <w:rPr>
          <w:rFonts w:ascii="Helvetica" w:hAnsi="Helvetica"/>
          <w:color w:val="000000"/>
          <w:sz w:val="20"/>
          <w:szCs w:val="20"/>
        </w:rPr>
        <w:t>. In the event that each of (i) the holders of a majority of the shares of Common Stock then outstanding, (ii) the holders of a majority of the shares of Common Stock then issued or issuable upon conversion of the shares of Series Seed Preferred Stock then outstanding and (iii) the Board approve a Deemed Liquidation Event (as defined in the Restated Charter), then each Holder and Key Holder hereby agrees to vote (in person, by proxy or by action by written consent, as applicable) all shares of capital stock of the Company now or hereafter directly or indirectly owned of record or beneficially by such Holder or Key Holder in favor of, and adopt, such Deemed Liquidation Event and to execute and deliver all related documentation and take such other action in support of the Deemed Liquidation Event as shall reasonably be requested by the Company in order to carry out the terms and provision of this Section 5.3, including without limitation executing and delivering instruments of convey¬ance and transfer, and any purchase agreement, merger agreement, indemnity agreement, escrow agreement, consent, waiver, governmental filing, share certificates duly endorsed for transfer (free and clear of impermissible liens, claims and encumbrances) and any similar or related documents. The obligation of any party to take the actions required by this Section 5.3 shall not apply to a Deemed Liquidation Event where the other party involved in such Deemed Liquidation Event is an affiliate or stockholder of the Company holding more than 10% of the voting power of the Company.</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Exceptions to Drag Along Right</w:t>
      </w:r>
      <w:r>
        <w:rPr>
          <w:rFonts w:ascii="Helvetica" w:hAnsi="Helvetica"/>
          <w:color w:val="000000"/>
          <w:sz w:val="20"/>
          <w:szCs w:val="20"/>
        </w:rPr>
        <w:t>. Notwithstanding the foregoing, a Holder will not be required to comply with Section 5.3 above in connection with any proposed Sale of the Company (the “Proposed Sale”) unless:</w:t>
      </w:r>
    </w:p>
    <w:p>
      <w:pPr>
        <w:pStyle w:val="style0"/>
        <w:numPr>
          <w:ilvl w:val="3"/>
          <w:numId w:val="3"/>
        </w:numPr>
        <w:shd w:fill="FFFFFF" w:val="clear"/>
        <w:spacing w:line="360" w:lineRule="atLeast"/>
        <w:ind w:hanging="360" w:left="3072" w:right="0"/>
      </w:pPr>
      <w:r>
        <w:rPr>
          <w:rFonts w:ascii="Helvetica" w:hAnsi="Helvetica"/>
          <w:color w:val="000000"/>
          <w:sz w:val="20"/>
          <w:szCs w:val="20"/>
        </w:rPr>
        <w:t>any representations and warranties to be made by such Holder in connection with the Proposed Sale are limited to representations and warranties related to authority, ownership and the ability to convey title to such Shares, including but not limited to representations and warranties that (i) the Holder holds all right, title and interest in and to the Shares such Holder purports to hold, free and clear of all liens and encumbrances, (ii) the obligations of the Holder in connection with the transaction have been duly authorized, if applicable, (iii) the documents to be entered into by the Holder have been duly executed by the Holder and delivered to the acquirer and are enforceable against the Holder in accordance with their respective terms and (iv) neither the execution and delivery of documents to be entered into in connection with the transaction, nor the performance of the Holder’s obligations thereunder, will cause a breach or violation of the terms of any agreement, law or judgment, order or decree of any court or governmental agency;</w:t>
      </w:r>
    </w:p>
    <w:p>
      <w:pPr>
        <w:pStyle w:val="style0"/>
        <w:numPr>
          <w:ilvl w:val="3"/>
          <w:numId w:val="3"/>
        </w:numPr>
        <w:shd w:fill="FFFFFF" w:val="clear"/>
        <w:spacing w:line="360" w:lineRule="atLeast"/>
        <w:ind w:hanging="360" w:left="3072" w:right="0"/>
      </w:pPr>
      <w:r>
        <w:rPr>
          <w:rFonts w:ascii="Helvetica" w:hAnsi="Helvetica"/>
          <w:color w:val="000000"/>
          <w:sz w:val="20"/>
          <w:szCs w:val="20"/>
        </w:rPr>
        <w:t>the Holder shall not be liable for the inaccuracy of any representation or warranty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r>
    </w:p>
    <w:p>
      <w:pPr>
        <w:pStyle w:val="style0"/>
        <w:numPr>
          <w:ilvl w:val="3"/>
          <w:numId w:val="3"/>
        </w:numPr>
        <w:shd w:fill="FFFFFF" w:val="clear"/>
        <w:spacing w:line="360" w:lineRule="atLeast"/>
        <w:ind w:hanging="360" w:left="3072" w:right="0"/>
      </w:pPr>
      <w:r>
        <w:rPr>
          <w:rFonts w:ascii="Helvetica" w:hAnsi="Helvetica"/>
          <w:color w:val="000000"/>
          <w:sz w:val="20"/>
          <w:szCs w:val="20"/>
        </w:rPr>
        <w:t>the liability for indemnification, if any, of such Holder in the Proposed Sale and for the inaccuracy of any representations and warranties made by the Company or its Holders in connection with such Proposed Sale, is several and not joint with any other Person (except to the extent that funds may be paid out of an escrow established to cover breach of representations, warranties and covenants of the Company as well as breach by any stockholder of any of identical representations, warranties and covenants provided by all stockholders), and except as required to satisfy the liquidity preference of the Series Seed Preferred Stock, if any, is pro rata in proportion to, and does not exceed, the amount of consideration paid to such Holder in connection with such Proposed Sale;</w:t>
      </w:r>
    </w:p>
    <w:p>
      <w:pPr>
        <w:pStyle w:val="style0"/>
        <w:numPr>
          <w:ilvl w:val="3"/>
          <w:numId w:val="3"/>
        </w:numPr>
        <w:shd w:fill="FFFFFF" w:val="clear"/>
        <w:spacing w:line="360" w:lineRule="atLeast"/>
        <w:ind w:hanging="360" w:left="3072" w:right="0"/>
      </w:pPr>
      <w:r>
        <w:rPr>
          <w:rFonts w:ascii="Helvetica" w:hAnsi="Helvetica"/>
          <w:color w:val="000000"/>
          <w:sz w:val="20"/>
          <w:szCs w:val="20"/>
        </w:rPr>
        <w:t>liability shall be limited to such Holder's applicable share (determined based on the respective proceeds payable to each Holder in connection with such Proposed Sale in accordance with the provisions of the Restated Certificate) of a negotiated aggregate indemnification amount that applies equally to all Holders but that in no event exceeds the amount of consideration otherwise payable to such Holder in connection with such Proposed Sale, except with respect to claims related to fraud by such Holder, the liability for which need not be limited as to such Holder; or</w:t>
      </w:r>
    </w:p>
    <w:p>
      <w:pPr>
        <w:pStyle w:val="style0"/>
        <w:numPr>
          <w:ilvl w:val="3"/>
          <w:numId w:val="3"/>
        </w:numPr>
        <w:shd w:fill="FFFFFF" w:val="clear"/>
        <w:spacing w:line="360" w:lineRule="atLeast"/>
        <w:ind w:hanging="360" w:left="3072" w:right="0"/>
      </w:pPr>
      <w:r>
        <w:rPr>
          <w:rFonts w:ascii="Helvetica" w:hAnsi="Helvetica"/>
          <w:color w:val="000000"/>
          <w:sz w:val="20"/>
          <w:szCs w:val="20"/>
        </w:rPr>
        <w:t>upon the consummation of the Proposed Sale, (i) each holder of each class or series of the Company’s stock will receive the same form of consideration for their shares of such class or series as is received by other holders in respect of their shares of such same class or series of stock unless the holders of at least a majority of Series Seed Preferred Stock elect otherwise, (ii) each holder of a series of Series Seed Preferred Stock will receive the same amount of consideration per share of such series of Series Seed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the holders of at least a majority of the Series Seed Preferred Stock elect to receive a lesser amount,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Company’s Certificate of Incorporation in effect immediately prior to the Proposed Sale.</w:t>
      </w:r>
    </w:p>
    <w:p>
      <w:pPr>
        <w:pStyle w:val="style0"/>
        <w:numPr>
          <w:ilvl w:val="1"/>
          <w:numId w:val="3"/>
        </w:numPr>
        <w:shd w:fill="FFFFFF" w:val="clear"/>
        <w:spacing w:line="360" w:lineRule="atLeast"/>
        <w:ind w:hanging="360" w:left="1536" w:right="0"/>
      </w:pPr>
      <w:r>
        <w:rPr>
          <w:rFonts w:ascii="Helvetica" w:hAnsi="Helvetica"/>
          <w:color w:val="000000"/>
          <w:sz w:val="20"/>
          <w:szCs w:val="20"/>
          <w:u w:val="single"/>
        </w:rPr>
        <w:t>PARTICIPATION RIGHT</w:t>
      </w:r>
      <w:r>
        <w:rPr>
          <w:rFonts w:ascii="Helvetica" w:hAnsi="Helvetica"/>
          <w:color w:val="000000"/>
          <w:sz w:val="20"/>
          <w:szCs w:val="20"/>
        </w:rPr>
        <w: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General</w:t>
      </w:r>
      <w:r>
        <w:rPr>
          <w:rFonts w:ascii="Helvetica" w:hAnsi="Helvetica"/>
          <w:color w:val="000000"/>
          <w:sz w:val="20"/>
          <w:szCs w:val="20"/>
        </w:rPr>
        <w:t>. Each Major Purchaser has the right of first refusal to purchase such Major Purchaser’s Pro Rata Share (as defined below) of all (or any part) of any New Securities (as defined in Section 6.2 below) that the Company may from time to time issue after the date of this Agreement, provided, however, such Major Purchaser shall have no right to purchase any such New Securities if such Major Purchaser cannot demonstrate to the Company’s reasonable satisfaction that such Major Purchaser is at the time of the proposed issuance of such New Securities an “accredited investor” as such term is defined in Regulation D under the Securities Act. A Major Purchaser’s “Pro Rata Share” for purposes of this right of first refusal is the ratio of (a) the number of shares of the Company’s Common Stock issued or issuable upon conversion of the shares of Series Seed Preferred Stock owned by such Major Purchaser, to (b) the Fully-Diluted Share Number.</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New Securities</w:t>
      </w:r>
      <w:r>
        <w:rPr>
          <w:rFonts w:ascii="Helvetica" w:hAnsi="Helvetica"/>
          <w:color w:val="000000"/>
          <w:sz w:val="20"/>
          <w:szCs w:val="20"/>
        </w:rPr>
        <w:t>. “New Securities” shall mean any Common Stock or Preferred Stock of the Company, whether now authorized or not, and rights, options or warrants to purchase such Common Stock or Preferred Stock, and securities of any type whatsoever that are, or may become, convertible or exchangeable into such Common Stock or Preferred Stock; provided, however, that the term “New Securities” does not include: (a) shares of Common Stock issued or issuable upon conversion of the outstanding shares of all the series of the Preferred Stock; (b) shares of Common Stock or Preferred Stock issuable upon exercise of any options, warrants or rights to purchase any securities of the Company outstanding as of the Agreement Date and any securities issuable upon the conversion thereof; (c) shares of Common Stock or Preferred Stock issued in connection with any stock split or stock dividend or recapitalization; (d) shares of Common Stock (or options, warrants or rights therefor) granted or issued hereafter to employees, officers, directors, contractors, consultants or advisers to, the Company or any subsidiary of the Company pursuant to incentive agreements, stock purchase or stock option plans, stock bonuses or awards, warrants, contracts or other arrangements that are approved by the Board; (e) shares of the Company’s Series Seed Preferred Stock issued pursuant to this Agreement; (f) any other shares of Common Stock or Preferred Stock (and/or options or warrants therefor) issued or issuable primarily for other than equity financing purposes and approved by the Board; and (g) shares of Common Stock issued or issuable by the Company to the public pursuant to a registration statement filed under the Securities Act.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Procedures</w:t>
      </w:r>
      <w:r>
        <w:rPr>
          <w:rFonts w:ascii="Helvetica" w:hAnsi="Helvetica"/>
          <w:color w:val="000000"/>
          <w:sz w:val="20"/>
          <w:szCs w:val="20"/>
        </w:rPr>
        <w:t>. In the event that the Company proposes to undertake an issuance of New Securities, it shall give to each Major Purchaser a written notice of its intention to issue New Securities (the “Notice”), describing the type of New Securities and the price and the general terms upon which the Company proposes to issue such New Securities given in accordance with Section 8.5. Each Major Purchaser shall have ten (10) days from the date such Notice is effective, as determined pursuant to Section 8.5 based upon the manner or method of notice, to agree in writing to purchase such Major Purchaser’s Pro Rata Share of such New Securities for the price and upon the general terms specified in the Notice by giving written notice to the Company and stating therein the quantity of New Securities to be purchased (not to exceed such Major Purchaser’s Pro Rata Share).</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Failure to Exercise</w:t>
      </w:r>
      <w:r>
        <w:rPr>
          <w:rFonts w:ascii="Helvetica" w:hAnsi="Helvetica"/>
          <w:color w:val="000000"/>
          <w:sz w:val="20"/>
          <w:szCs w:val="20"/>
        </w:rPr>
        <w:t>. In the event that the Major Purchasers fail to exercise in full the right of first refusal within such ten (10) day period, then the Company shall have one hundred twenty (120) days thereafter to sell the New Securities with respect to which the Major Purchasers’ rights of first refusal hereunder were not exercised, at a price and upon general terms not materially more favorable to the purchasers thereof than specified in the Company’s Notice to the Major Purchasers. In the event that the Company has not issued and sold the New Securities within such one hundred twenty (120) day period, then the Company shall not thereafter issue or sell any New Securities without again first offering such New Securities to the Major Purchasers pursuant to this Section 6.</w:t>
      </w:r>
    </w:p>
    <w:p>
      <w:pPr>
        <w:pStyle w:val="style0"/>
        <w:numPr>
          <w:ilvl w:val="1"/>
          <w:numId w:val="3"/>
        </w:numPr>
        <w:shd w:fill="FFFFFF" w:val="clear"/>
        <w:spacing w:line="360" w:lineRule="atLeast"/>
        <w:ind w:hanging="360" w:left="1536" w:right="0"/>
      </w:pPr>
      <w:r>
        <w:rPr>
          <w:rFonts w:ascii="Helvetica" w:hAnsi="Helvetica"/>
          <w:color w:val="000000"/>
          <w:sz w:val="20"/>
          <w:szCs w:val="20"/>
          <w:u w:val="single"/>
        </w:rPr>
        <w:t>ELECTION OF BOARD OF DIRECTORS</w:t>
      </w:r>
      <w:r>
        <w:rPr>
          <w:rFonts w:ascii="Helvetica" w:hAnsi="Helvetica"/>
          <w:color w:val="000000"/>
          <w:sz w:val="20"/>
          <w:szCs w:val="20"/>
        </w:rPr>
        <w: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Voting; Board Composition</w:t>
      </w:r>
      <w:r>
        <w:rPr>
          <w:rFonts w:ascii="Helvetica" w:hAnsi="Helvetica"/>
          <w:color w:val="000000"/>
          <w:sz w:val="20"/>
          <w:szCs w:val="20"/>
        </w:rPr>
        <w:t>. Subject to the rights of the stockholders of the Company to remove a director for cause in accordance with applicable law, during the term of this Agreement, each Purchaser and each Key Holder (each a “Stockholder”) agrees to vote (or consent pursuant to an action by written consent of the stockholders of the Company) all shares of capital stock of the Company now or hereafter directly or indirectly owned of record or beneficially by such Stockholder (the “Voting Shares”), or to cause such Voting Shares to be voted, in such manner as may be necessary to elect (and maintain in office) as the members of the Board:</w:t>
      </w:r>
    </w:p>
    <w:p>
      <w:pPr>
        <w:pStyle w:val="style0"/>
        <w:numPr>
          <w:ilvl w:val="3"/>
          <w:numId w:val="3"/>
        </w:numPr>
        <w:shd w:fill="FFFFFF" w:val="clear"/>
        <w:spacing w:line="360" w:lineRule="atLeast"/>
        <w:ind w:hanging="360" w:left="3072" w:right="0"/>
      </w:pPr>
      <w:r>
        <w:rPr>
          <w:rFonts w:ascii="Helvetica" w:hAnsi="Helvetica"/>
          <w:color w:val="000000"/>
          <w:sz w:val="20"/>
          <w:szCs w:val="20"/>
        </w:rPr>
        <w:t>that number of individuals, if any, equal to the Common Board Member Count (each, a “Common Board Designee” and, collectively, the “Common Board Designees”) designated from time to time in a writing delivered to the Company and signed by Common Control Holders who, at the time in question, hold shares of issued and outstanding Common Stock of the Company representing a majority of the voting power of all issued and outstanding shares of Common Stock of the Company then held by all Common Control Holders;</w:t>
      </w:r>
    </w:p>
    <w:p>
      <w:pPr>
        <w:pStyle w:val="style0"/>
        <w:numPr>
          <w:ilvl w:val="3"/>
          <w:numId w:val="3"/>
        </w:numPr>
        <w:shd w:fill="FFFFFF" w:val="clear"/>
        <w:spacing w:line="360" w:lineRule="atLeast"/>
        <w:ind w:hanging="360" w:left="3072" w:right="0"/>
      </w:pPr>
      <w:r>
        <w:rPr>
          <w:rFonts w:ascii="Helvetica" w:hAnsi="Helvetica"/>
          <w:color w:val="000000"/>
          <w:sz w:val="20"/>
          <w:szCs w:val="20"/>
        </w:rPr>
        <w:t>that number of individuals, if any, equal to the Series Seed Board Member Count (each, a “Series Seed Board Designee” and, collectively, the “Series Seed Board Designees”) designated from time to time in a writing delivered to the Company and signed by Purchasers who, at the time in question, hold a majority of the then outstanding shares of Series Seed Preferred Stock issued pursuant to this Agreement; or</w:t>
      </w:r>
    </w:p>
    <w:p>
      <w:pPr>
        <w:pStyle w:val="style0"/>
        <w:numPr>
          <w:ilvl w:val="3"/>
          <w:numId w:val="3"/>
        </w:numPr>
        <w:shd w:fill="FFFFFF" w:val="clear"/>
        <w:spacing w:line="360" w:lineRule="atLeast"/>
        <w:ind w:hanging="360" w:left="3072" w:right="0"/>
      </w:pPr>
      <w:r>
        <w:rPr>
          <w:rFonts w:ascii="Helvetica" w:hAnsi="Helvetica"/>
          <w:color w:val="000000"/>
          <w:sz w:val="20"/>
          <w:szCs w:val="20"/>
        </w:rPr>
        <w:t>that number of individuals, if any, equal to the Mutual Consent Board Member Count (each, a “Mutual Consent Board Designee” and, collectively, the “Mutual Consent Board Designees” and, together with any Common Board Designee and any Seed Board Designee, each a “Board Designee”) designated from time to time in a writing delivered to the Company and signed by (a) Purchasers who, at the time in question, hold a majority of the then outstanding shares of Series Seed Preferred Stock issued pursuant to this Agreement and (b) Common Control Holders who, at the time in question, hold shares of issued and outstanding Common Stock of the Company representing a majority of the voting power of all issued and outstanding shares of Common Stock of the Company then held by all Common Control Holders.</w:t>
      </w:r>
    </w:p>
    <w:p>
      <w:pPr>
        <w:pStyle w:val="style0"/>
        <w:shd w:fill="FFFFFF" w:val="clear"/>
        <w:spacing w:line="360" w:lineRule="atLeast"/>
        <w:ind w:hanging="0" w:left="2304" w:right="0"/>
      </w:pPr>
      <w:r>
        <w:rPr>
          <w:rFonts w:ascii="Helvetica" w:hAnsi="Helvetica"/>
          <w:color w:val="000000"/>
          <w:sz w:val="20"/>
          <w:szCs w:val="20"/>
        </w:rPr>
        <w:t>Subject to the rights of the stockholders of the Company to remove a director for cause in accordance with applicable law, during the term of this Agreement, no Stockholder shall take any action to remove an incumbent Board Designee or to designate a new Board Designee unless such removal and/or designation of a Board Designee is approved in a writing signed by the parties entitled to designate such Board Designee above. Each Stockholder hereby appoints the then current Chief Executive Officer of the Company, as such Stockholder’s true and lawful proxy and attorney, with the power to act alone and with full power of substitution, to vote all shares of the Company’s capital stock held by such Stockholder as set forth in this Agreement and to execute all appropriate instruments consistent with this Agreement on behalf of such Stockholder if, and only if, such Stockholder (a) fails to vote or (b) attempts to vote (whether by proxy, in person or by written consent), in a manner which is inconsistent with the terms of this Agreement, all of such Stockholder’s Voting Shares or execute such other instruments in accordance with the provisions of this Agreement within five (5) days of the Company’s or any other party’s written request for such Stockholder’s written consent or signature. The proxy and power granted by each Stockholder pursuant to this Section are coupled with an interest and are given to secure the performance of such party’s duties under this Agreement. Each such proxy and power will be irrevocable for the term hereof. The proxy and power, so long as any party hereto is an individual, will survive the death, incompetency and disability of such party or any other individual Stockholder of Voting Shares and, so long as any party hereto is an entity, will survive the merger or reorganization of such party or any other entity holding Voting Shares.</w:t>
      </w:r>
    </w:p>
    <w:p>
      <w:pPr>
        <w:pStyle w:val="style0"/>
        <w:numPr>
          <w:ilvl w:val="1"/>
          <w:numId w:val="3"/>
        </w:numPr>
        <w:shd w:fill="FFFFFF" w:val="clear"/>
        <w:spacing w:line="360" w:lineRule="atLeast"/>
        <w:ind w:hanging="360" w:left="1536" w:right="0"/>
      </w:pPr>
      <w:r>
        <w:rPr>
          <w:rFonts w:ascii="Helvetica" w:hAnsi="Helvetica"/>
          <w:color w:val="000000"/>
          <w:sz w:val="20"/>
          <w:szCs w:val="20"/>
          <w:u w:val="single"/>
        </w:rPr>
        <w:t>GENERAL PROVISIONS</w:t>
      </w:r>
      <w:r>
        <w:rPr>
          <w:rFonts w:ascii="Helvetica" w:hAnsi="Helvetica"/>
          <w:color w:val="000000"/>
          <w:sz w:val="20"/>
          <w:szCs w:val="20"/>
        </w:rPr>
        <w: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Successors and Assigns</w:t>
      </w:r>
      <w:r>
        <w:rPr>
          <w:rFonts w:ascii="Helvetica" w:hAnsi="Helvetica"/>
          <w:color w:val="000000"/>
          <w:sz w:val="20"/>
          <w:szCs w:val="20"/>
        </w:rPr>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Governing Law</w:t>
      </w:r>
      <w:r>
        <w:rPr>
          <w:rFonts w:ascii="Helvetica" w:hAnsi="Helvetica"/>
          <w:color w:val="000000"/>
          <w:sz w:val="20"/>
          <w:szCs w:val="20"/>
        </w:rPr>
        <w:t>. This Agreement shall be governed by, and construed in accordance with, the Governing Law, regardless of the laws that might otherwise govern under applicable principles of conflicts of law.</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Counterparts; Facsimile or Electronic Signature</w:t>
      </w:r>
      <w:r>
        <w:rPr>
          <w:rFonts w:ascii="Helvetica" w:hAnsi="Helvetica"/>
          <w:color w:val="000000"/>
          <w:sz w:val="20"/>
          <w:szCs w:val="20"/>
        </w:rPr>
        <w:t>. This Agreement may be executed and delivered by facsimile or electronic signature and in two or more counterparts, each of which shall be deemed an original, but all of which together shall constitute one and the same instrument.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Titles and Subtitles</w:t>
      </w:r>
      <w:r>
        <w:rPr>
          <w:rFonts w:ascii="Helvetica" w:hAnsi="Helvetica"/>
          <w:color w:val="000000"/>
          <w:sz w:val="20"/>
          <w:szCs w:val="20"/>
        </w:rPr>
        <w:t>. The titles and subtitles used in this Agreement are used for convenience only and are not to be considered in construing or interpreting this Agreement. References to sections or subsections within this set of Agreement Terms shall be deemed to be references to the sections of this set of Agreement Terms contained in Exhibit B to the Agreement, unless otherwise specifically stated herein.</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Notices</w:t>
      </w:r>
      <w:r>
        <w:rPr>
          <w:rFonts w:ascii="Helvetica" w:hAnsi="Helvetica"/>
          <w:color w:val="000000"/>
          <w:sz w:val="20"/>
          <w:szCs w:val="20"/>
        </w:rPr>
        <w:t>. All notices and other communications given or made pursuant to this Agreement shall be in writing and shall be deemed effectively given upon the earlier of actual receipt or: (a) personal delivery to the party to be notified, (b) when sent, if sent by facsimile or electronic mail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Schedule 1, or to such address, facsimile number or electronic mail address as subsequently modified by written notice given in accordance with this Section 8.5.</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No Finder’s Fees</w:t>
      </w:r>
      <w:r>
        <w:rPr>
          <w:rFonts w:ascii="Helvetica" w:hAnsi="Helvetica"/>
          <w:color w:val="000000"/>
          <w:sz w:val="20"/>
          <w:szCs w:val="20"/>
        </w:rPr>
        <w:t>. Each party represents that it neither is nor will be obligated for any finder’s fee or commission in connection with this transaction. 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Attorneys’ Fees</w:t>
      </w:r>
      <w:r>
        <w:rPr>
          <w:rFonts w:ascii="Helvetica" w:hAnsi="Helvetica"/>
          <w:color w:val="000000"/>
          <w:sz w:val="20"/>
          <w:szCs w:val="20"/>
        </w:rPr>
        <w:t>. If any action at law or in equity (including arbitration) is necessary to enforce or interpret the terms of this Agreement, the prevailing party shall be entitled to reasonable attorneys’ fees, costs and necessary disbursements in addition to any other relief to which such party may be entitled. Each party shall pay all costs and expenses that it incurs with respect to the negotiation, execution, delivery and performance of the Agreement; provided, however, that the Company shall, at the Closing, reimburse the fees and expenses of one counsel for Purchasers, for a flat fee equal to the Purchaser Counsel Reimbursement Amount.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Amendments and Waivers</w:t>
      </w:r>
      <w:r>
        <w:rPr>
          <w:rFonts w:ascii="Helvetica" w:hAnsi="Helvetica"/>
          <w:color w:val="000000"/>
          <w:sz w:val="20"/>
          <w:szCs w:val="20"/>
        </w:rPr>
        <w:t>. Except as specified in Section 1.2.2, any term of this Agreement may be amended, terminated or waived (either generally or in a particular instance and either retroactively or prospectively) only with the written consent of the Company and the Purchasers holding a majority of the then-outstanding shares of Series Seed Preferred Stock (or Common Stock issued on conversion thereof); provided, however, that any amendment to Section 7.1(a) or Section 7.1(c) shall also require the additional written consent of the holders of a majority of the outstanding shares of the Company’s Common Stock then held by all of the Common Control Holders. Any amendment or waiver effected in accordance with this Section 8.8 shall be binding upon the Purchasers, the Key Holders, each transferee of the shares of Series Seed Preferred Stock (or the Common Stock issuable upon conversion thereof) or Common Stock from a Purchaser or Key Holders, as applicable, and each future holder of all such securities, and the Company.</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Severability</w:t>
      </w:r>
      <w:r>
        <w:rPr>
          <w:rFonts w:ascii="Helvetica" w:hAnsi="Helvetica"/>
          <w:color w:val="000000"/>
          <w:sz w:val="20"/>
          <w:szCs w:val="20"/>
        </w:rPr>
        <w:t>. The invalidity or unenforceability of any provision hereof shall in no way affect the validity or enforceability of any other provision.</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Delays or Omissions</w:t>
      </w:r>
      <w:r>
        <w:rPr>
          <w:rFonts w:ascii="Helvetica" w:hAnsi="Helvetica"/>
          <w:color w:val="000000"/>
          <w:sz w:val="20"/>
          <w:szCs w:val="20"/>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Termination</w:t>
      </w:r>
      <w:r>
        <w:rPr>
          <w:rFonts w:ascii="Helvetica" w:hAnsi="Helvetica"/>
          <w:color w:val="000000"/>
          <w:sz w:val="20"/>
          <w:szCs w:val="20"/>
        </w:rPr>
        <w:t>. Unless terminated earlier pursuant to the terms of this Agreement, (x) the rights, duties and obligations under Sections 4, 6 and 7 shall terminate immediately prior to the closing of the Company’s initial public offering of Common Stock pursuant to an effective registration statement filed under the Securities Act, (y) notwithstanding anything to the contrary herein, this Agreement (excluding any then-existing obligations) shall terminate upon the closing of a Deemed Liquidation Event as defined in the Company’s Restated Charter, as amended from time to time and (z) notwithstanding anything to the contrary herein, Section 1, Section 2, Section 3, Section 4.1.2 and this Section 8 shall survive any termination of this Agreement.</w:t>
      </w:r>
    </w:p>
    <w:p>
      <w:pPr>
        <w:pStyle w:val="style0"/>
        <w:numPr>
          <w:ilvl w:val="2"/>
          <w:numId w:val="3"/>
        </w:numPr>
        <w:shd w:fill="FFFFFF" w:val="clear"/>
        <w:spacing w:line="360" w:lineRule="atLeast"/>
        <w:ind w:hanging="360" w:left="2304" w:right="0"/>
      </w:pPr>
      <w:r>
        <w:rPr>
          <w:rFonts w:ascii="Helvetica" w:hAnsi="Helvetica"/>
          <w:color w:val="000000"/>
          <w:sz w:val="20"/>
          <w:szCs w:val="20"/>
          <w:u w:val="single"/>
        </w:rPr>
        <w:t>Dispute Resolution</w:t>
      </w:r>
      <w:r>
        <w:rPr>
          <w:rFonts w:ascii="Helvetica" w:hAnsi="Helvetica"/>
          <w:color w:val="000000"/>
          <w:sz w:val="20"/>
          <w:szCs w:val="20"/>
        </w:rPr>
        <w:t>. Each party (a) hereby irrevocably and unconditionally submits to the Dispute Resolution Jurisdiction for the purpose of any suit, action or other proceeding arising out of or based upon this Agreement (b) agrees not to commence any suit, action or other proceeding arising out of or based upon this Agreement except in the Dispute Resolution Jurisdiction, and (c) hereby waives, and agrees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and thereof may not be enforced in or by such court.</w:t>
      </w:r>
    </w:p>
    <w:p>
      <w:pPr>
        <w:pStyle w:val="style0"/>
        <w:shd w:fill="FFFFFF" w:val="clear"/>
        <w:spacing w:line="294" w:lineRule="atLeast"/>
        <w:ind w:hanging="0" w:left="768" w:right="0"/>
      </w:pPr>
      <w:r>
        <w:rPr>
          <w:rFonts w:ascii="Helvetica" w:hAnsi="Helvetica"/>
          <w:color w:val="000000"/>
          <w:sz w:val="20"/>
          <w:szCs w:val="20"/>
        </w:rPr>
        <w:t>IN WITNESS WHEREOF, the parties have executed this Agreement as of {Agt.Effective.YMD}.</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Arial">
    <w:charset w:val="80"/>
    <w:family w:val="swiss"/>
    <w:pitch w:val="variable"/>
  </w:font>
  <w:font w:name="Times">
    <w:altName w:val="Times New Roman"/>
    <w:charset w:val="80"/>
    <w:family w:val="roman"/>
    <w:pitch w:val="variable"/>
  </w:font>
  <w:font w:name="Helvetica">
    <w:altName w:val="Arial"/>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1"/>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mbria" w:cs="Cambria" w:eastAsia="SimSun"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 w:styleId="style21" w:type="paragraph">
    <w:name w:val="Normal (Web)"/>
    <w:basedOn w:val="style0"/>
    <w:next w:val="style21"/>
    <w:pPr/>
    <w:rPr>
      <w:rFonts w:ascii="Times" w:cs="Times New Roman" w:hAnsi="Time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2014-03-09T00:11:00.00Z</dcterms:created>
  <dc:creator>James Hazard</dc:creator>
  <cp:lastModifiedBy>James Hazard</cp:lastModifiedBy>
  <dcterms:modified xsi:type="dcterms:W3CDTF">2014-03-09T00:12:00.00Z</dcterms:modified>
  <cp:revision>1</cp:revision>
</cp:coreProperties>
</file>