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36" w:lineRule="auto"/>
      </w:pPr>
      <w:r>
        <w:rPr>
          <w:rFonts w:ascii="Space Grotesk" w:hAnsi="Space Grotesk"/>
          <w:b/>
          <w:color w:val="0F172A"/>
          <w:sz w:val="52"/>
        </w:rPr>
        <w:t>cvlSoft</w:t>
      </w:r>
      <w:r>
        <w:rPr>
          <w:rFonts w:ascii="Space Grotesk" w:hAnsi="Space Grotesk"/>
          <w:b w:val="0"/>
          <w:color w:val="64748B"/>
          <w:sz w:val="52"/>
        </w:rPr>
        <w:t>, LLC</w:t>
      </w:r>
    </w:p>
    <w:p>
      <w:pPr>
        <w:spacing w:before="0" w:after="0" w:line="336" w:lineRule="auto"/>
      </w:pPr>
      <w:r>
        <w:rPr>
          <w:rFonts w:ascii="IBM Plex Mono" w:hAnsi="IBM Plex Mono"/>
          <w:b w:val="0"/>
          <w:color w:val="0E7490"/>
          <w:sz w:val="16"/>
        </w:rPr>
        <w:t>AUTONOMOUS  INTELLIGENCE  OPERATING  SYSTEM</w:t>
      </w:r>
    </w:p>
    <w:p>
      <w:pPr>
        <w:spacing w:before="200" w:after="320" w:line="336" w:lineRule="auto"/>
        <w:pBdr>
          <w:bottom w:val="single" w:sz="12" w:color="0e7490"/>
        </w:pBdr>
      </w:pPr>
    </w:p>
    <w:p>
      <w:pPr>
        <w:spacing w:before="0" w:after="80" w:line="336" w:lineRule="auto"/>
      </w:pPr>
      <w:r>
        <w:rPr>
          <w:rFonts w:ascii="IBM Plex Mono" w:hAnsi="IBM Plex Mono"/>
          <w:b w:val="0"/>
          <w:color w:val="0E7490"/>
          <w:sz w:val="17"/>
        </w:rPr>
        <w:t>CONFIDENTIAL  ·  ONE-WAY NDA</w:t>
      </w:r>
    </w:p>
    <w:p>
      <w:pPr>
        <w:spacing w:before="0" w:after="280" w:line="336" w:lineRule="auto"/>
      </w:pPr>
      <w:r>
        <w:rPr>
          <w:rFonts w:ascii="Space Grotesk" w:hAnsi="Space Grotesk"/>
          <w:b/>
          <w:color w:val="0F172A"/>
          <w:sz w:val="52"/>
        </w:rPr>
        <w:t>Non-Disclosure Agreement</w:t>
      </w:r>
    </w:p>
    <w:p>
      <w:pPr>
        <w:spacing w:before="0" w:after="160" w:line="336" w:lineRule="auto"/>
      </w:pPr>
      <w:r>
        <w:rPr>
          <w:rFonts w:ascii="Manrope" w:hAnsi="Manrope"/>
          <w:b w:val="0"/>
          <w:sz w:val="22"/>
        </w:rPr>
        <w:t>This Non-Disclosure Agreement (</w:t>
      </w:r>
      <w:r>
        <w:rPr>
          <w:rFonts w:ascii="Manrope" w:hAnsi="Manrope"/>
          <w:b/>
          <w:sz w:val="22"/>
        </w:rPr>
        <w:t>“Agreement”</w:t>
      </w:r>
      <w:r>
        <w:rPr>
          <w:rFonts w:ascii="Manrope" w:hAnsi="Manrope"/>
          <w:b w:val="0"/>
          <w:sz w:val="22"/>
        </w:rPr>
        <w:t xml:space="preserve">) is entered into as of </w:t>
      </w:r>
      <w:r>
        <w:rPr>
          <w:rFonts w:ascii="Manrope" w:hAnsi="Manrope"/>
          <w:b/>
          <w:color w:val="0E7490"/>
          <w:sz w:val="22"/>
        </w:rPr>
        <w:t>[EFFECTIVE DATE]</w:t>
      </w:r>
      <w:r>
        <w:rPr>
          <w:rFonts w:ascii="Manrope" w:hAnsi="Manrope"/>
          <w:b w:val="0"/>
          <w:sz w:val="22"/>
        </w:rPr>
        <w:t xml:space="preserve"> (the “Effective Date”) by and between:</w:t>
      </w:r>
    </w:p>
    <w:p>
      <w:pPr>
        <w:spacing w:before="0" w:after="160" w:line="336" w:lineRule="auto"/>
      </w:pPr>
      <w:r>
        <w:rPr>
          <w:rFonts w:ascii="Manrope" w:hAnsi="Manrope"/>
          <w:b/>
          <w:sz w:val="22"/>
        </w:rPr>
        <w:t>cvlSoft, LLC</w:t>
      </w:r>
      <w:r>
        <w:rPr>
          <w:rFonts w:ascii="Manrope" w:hAnsi="Manrope"/>
          <w:b w:val="0"/>
          <w:sz w:val="22"/>
        </w:rPr>
        <w:t xml:space="preserve">, a limited liability company with its principal place of business at </w:t>
      </w:r>
      <w:r>
        <w:rPr>
          <w:rFonts w:ascii="Manrope" w:hAnsi="Manrope"/>
          <w:b/>
          <w:color w:val="0E7490"/>
          <w:sz w:val="22"/>
        </w:rPr>
        <w:t>[CVLSOFT ADDRESS]</w:t>
      </w:r>
      <w:r>
        <w:rPr>
          <w:rFonts w:ascii="Manrope" w:hAnsi="Manrope"/>
          <w:b w:val="0"/>
          <w:sz w:val="22"/>
        </w:rPr>
        <w:t xml:space="preserve"> (</w:t>
      </w:r>
      <w:r>
        <w:rPr>
          <w:rFonts w:ascii="Manrope" w:hAnsi="Manrope"/>
          <w:b/>
          <w:sz w:val="22"/>
        </w:rPr>
        <w:t>“Disclosing Party”</w:t>
      </w:r>
      <w:r>
        <w:rPr>
          <w:rFonts w:ascii="Manrope" w:hAnsi="Manrope"/>
          <w:b w:val="0"/>
          <w:sz w:val="22"/>
        </w:rPr>
        <w:t xml:space="preserve"> or </w:t>
      </w:r>
      <w:r>
        <w:rPr>
          <w:rFonts w:ascii="Manrope" w:hAnsi="Manrope"/>
          <w:b/>
          <w:sz w:val="22"/>
        </w:rPr>
        <w:t>“cvlSoft”</w:t>
      </w:r>
      <w:r>
        <w:rPr>
          <w:rFonts w:ascii="Manrope" w:hAnsi="Manrope"/>
          <w:b w:val="0"/>
          <w:sz w:val="22"/>
        </w:rPr>
        <w:t>); and</w:t>
      </w:r>
    </w:p>
    <w:p>
      <w:pPr>
        <w:spacing w:before="0" w:after="160" w:line="336" w:lineRule="auto"/>
      </w:pPr>
      <w:r>
        <w:rPr>
          <w:rFonts w:ascii="Manrope" w:hAnsi="Manrope"/>
          <w:b/>
          <w:color w:val="0E7490"/>
          <w:sz w:val="22"/>
        </w:rPr>
        <w:t>[COUNTERPARTY NAME]</w:t>
      </w:r>
      <w:r>
        <w:rPr>
          <w:rFonts w:ascii="Manrope" w:hAnsi="Manrope"/>
          <w:b w:val="0"/>
          <w:sz w:val="22"/>
        </w:rPr>
        <w:t xml:space="preserve">, a </w:t>
      </w:r>
      <w:r>
        <w:rPr>
          <w:rFonts w:ascii="Manrope" w:hAnsi="Manrope"/>
          <w:b/>
          <w:color w:val="0E7490"/>
          <w:sz w:val="22"/>
        </w:rPr>
        <w:t>[ENTITY TYPE]</w:t>
      </w:r>
      <w:r>
        <w:rPr>
          <w:rFonts w:ascii="Manrope" w:hAnsi="Manrope"/>
          <w:b w:val="0"/>
          <w:sz w:val="22"/>
        </w:rPr>
        <w:t xml:space="preserve"> with its principal place of business at </w:t>
      </w:r>
      <w:r>
        <w:rPr>
          <w:rFonts w:ascii="Manrope" w:hAnsi="Manrope"/>
          <w:b/>
          <w:color w:val="0E7490"/>
          <w:sz w:val="22"/>
        </w:rPr>
        <w:t>[COUNTERPARTY ADDRESS]</w:t>
      </w:r>
      <w:r>
        <w:rPr>
          <w:rFonts w:ascii="Manrope" w:hAnsi="Manrope"/>
          <w:b w:val="0"/>
          <w:sz w:val="22"/>
        </w:rPr>
        <w:t xml:space="preserve"> (</w:t>
      </w:r>
      <w:r>
        <w:rPr>
          <w:rFonts w:ascii="Manrope" w:hAnsi="Manrope"/>
          <w:b/>
          <w:sz w:val="22"/>
        </w:rPr>
        <w:t>“Receiving Party”</w:t>
      </w:r>
      <w:r>
        <w:rPr>
          <w:rFonts w:ascii="Manrope" w:hAnsi="Manrope"/>
          <w:b w:val="0"/>
          <w:sz w:val="22"/>
        </w:rPr>
        <w:t>).</w:t>
      </w:r>
    </w:p>
    <w:p>
      <w:pPr>
        <w:spacing w:before="0" w:after="160" w:line="336" w:lineRule="auto"/>
      </w:pPr>
      <w:r>
        <w:rPr>
          <w:rFonts w:ascii="Manrope" w:hAnsi="Manrope"/>
          <w:b w:val="0"/>
          <w:color w:val="475569"/>
          <w:sz w:val="22"/>
        </w:rPr>
        <w:t>The Disclosing Party and Receiving Party are referred to individually as a “Party” and collectively as the “Parties.”</w:t>
      </w:r>
    </w:p>
    <w:p>
      <w:pPr>
        <w:spacing w:before="280" w:after="80" w:line="336" w:lineRule="auto"/>
      </w:pPr>
      <w:r>
        <w:rPr>
          <w:rFonts w:ascii="Space Grotesk" w:hAnsi="Space Grotesk"/>
          <w:b/>
          <w:color w:val="0E7490"/>
          <w:sz w:val="23"/>
        </w:rPr>
        <w:t>1.  PURPOSE</w:t>
      </w:r>
    </w:p>
    <w:p>
      <w:pPr>
        <w:spacing w:before="0" w:after="160" w:line="336" w:lineRule="auto"/>
      </w:pPr>
      <w:r>
        <w:rPr>
          <w:rFonts w:ascii="Manrope" w:hAnsi="Manrope"/>
          <w:b w:val="0"/>
          <w:sz w:val="22"/>
        </w:rPr>
        <w:t xml:space="preserve">The Parties wish to explore a potential business relationship involving cvlSoft’s </w:t>
      </w:r>
      <w:r>
        <w:rPr>
          <w:rFonts w:ascii="Manrope" w:hAnsi="Manrope"/>
          <w:b/>
          <w:sz w:val="22"/>
        </w:rPr>
        <w:t>AIOS (Autonomous Intelligence Operating System)</w:t>
      </w:r>
      <w:r>
        <w:rPr>
          <w:rFonts w:ascii="Manrope" w:hAnsi="Manrope"/>
          <w:b w:val="0"/>
          <w:sz w:val="22"/>
        </w:rPr>
        <w:t xml:space="preserve"> platform, including evaluation, demonstration, deployment, integration, or commercial engagement (the </w:t>
      </w:r>
      <w:r>
        <w:rPr>
          <w:rFonts w:ascii="Manrope" w:hAnsi="Manrope"/>
          <w:b/>
          <w:sz w:val="22"/>
        </w:rPr>
        <w:t>“Purpose”</w:t>
      </w:r>
      <w:r>
        <w:rPr>
          <w:rFonts w:ascii="Manrope" w:hAnsi="Manrope"/>
          <w:b w:val="0"/>
          <w:sz w:val="22"/>
        </w:rPr>
        <w:t>). In connection with the Purpose, the Disclosing Party may share Confidential Information with the Receiving Party.</w:t>
      </w:r>
    </w:p>
    <w:p>
      <w:pPr>
        <w:spacing w:before="280" w:after="80" w:line="336" w:lineRule="auto"/>
      </w:pPr>
      <w:r>
        <w:rPr>
          <w:rFonts w:ascii="Space Grotesk" w:hAnsi="Space Grotesk"/>
          <w:b/>
          <w:color w:val="0E7490"/>
          <w:sz w:val="23"/>
        </w:rPr>
        <w:t>2.  CONFIDENTIAL INFORMATION</w:t>
      </w:r>
    </w:p>
    <w:p>
      <w:pPr>
        <w:spacing w:before="0" w:after="160" w:line="336" w:lineRule="auto"/>
      </w:pPr>
      <w:r>
        <w:rPr>
          <w:rFonts w:ascii="Manrope" w:hAnsi="Manrope"/>
          <w:b/>
          <w:sz w:val="22"/>
        </w:rPr>
        <w:t>“Confidential Information”</w:t>
      </w:r>
      <w:r>
        <w:rPr>
          <w:rFonts w:ascii="Manrope" w:hAnsi="Manrope"/>
          <w:b w:val="0"/>
          <w:sz w:val="22"/>
        </w:rPr>
        <w:t xml:space="preserve"> means any non-public information disclosed by the Disclosing Party to the Receiving Party, in any form (oral, written, visual, electronic, or otherwise), whether or not marked “confidential,” that a reasonable person would understand to be confidential. Confidential Information includes, without limitation:</w:t>
      </w:r>
    </w:p>
    <w:p>
      <w:pPr>
        <w:pStyle w:val="ListBullet"/>
        <w:spacing w:before="0" w:after="80" w:line="336" w:lineRule="auto"/>
      </w:pPr>
      <w:r>
        <w:rPr>
          <w:rFonts w:ascii="Manrope" w:hAnsi="Manrope"/>
          <w:b w:val="0"/>
          <w:sz w:val="22"/>
        </w:rPr>
        <w:t>The AIOS platform, including its architecture, source code, models, prompts, agents, cognitive processes, knowledge-extraction methods, deployment methodology, and runtime behavior;</w:t>
      </w:r>
    </w:p>
    <w:p>
      <w:pPr>
        <w:pStyle w:val="ListBullet"/>
        <w:spacing w:before="0" w:after="80" w:line="336" w:lineRule="auto"/>
      </w:pPr>
      <w:r>
        <w:rPr>
          <w:rFonts w:ascii="Manrope" w:hAnsi="Manrope"/>
          <w:b w:val="0"/>
          <w:sz w:val="22"/>
        </w:rPr>
        <w:t>Proprietary processes, methodologies, and frameworks (including cvlSoft’s knowledge-extraction, cognitive-architecture, and outcome-based-pricing methods);</w:t>
      </w:r>
    </w:p>
    <w:p>
      <w:pPr>
        <w:pStyle w:val="ListBullet"/>
        <w:spacing w:before="0" w:after="80" w:line="336" w:lineRule="auto"/>
      </w:pPr>
      <w:r>
        <w:rPr>
          <w:rFonts w:ascii="Manrope" w:hAnsi="Manrope"/>
          <w:b w:val="0"/>
          <w:sz w:val="22"/>
        </w:rPr>
        <w:t>Product roadmaps, technical specifications, performance data, benchmarks, and demonstration outputs;</w:t>
      </w:r>
    </w:p>
    <w:p>
      <w:pPr>
        <w:pStyle w:val="ListBullet"/>
        <w:spacing w:before="0" w:after="80" w:line="336" w:lineRule="auto"/>
      </w:pPr>
      <w:r>
        <w:rPr>
          <w:rFonts w:ascii="Manrope" w:hAnsi="Manrope"/>
          <w:b w:val="0"/>
          <w:sz w:val="22"/>
        </w:rPr>
        <w:t>Customer lists, pricing, financials, business plans, and strategic information;</w:t>
      </w:r>
    </w:p>
    <w:p>
      <w:pPr>
        <w:pStyle w:val="ListBullet"/>
        <w:spacing w:before="0" w:after="80" w:line="336" w:lineRule="auto"/>
      </w:pPr>
      <w:r>
        <w:rPr>
          <w:rFonts w:ascii="Manrope" w:hAnsi="Manrope"/>
          <w:b w:val="0"/>
          <w:sz w:val="22"/>
        </w:rPr>
        <w:t>Any documentation, materials, or derivatives generated from the foregoing.</w:t>
      </w:r>
    </w:p>
    <w:p>
      <w:pPr>
        <w:spacing w:before="280" w:after="80" w:line="336" w:lineRule="auto"/>
      </w:pPr>
      <w:r>
        <w:rPr>
          <w:rFonts w:ascii="Space Grotesk" w:hAnsi="Space Grotesk"/>
          <w:b/>
          <w:color w:val="0E7490"/>
          <w:sz w:val="23"/>
        </w:rPr>
        <w:t>3.  EXCLUSIONS</w:t>
      </w:r>
    </w:p>
    <w:p>
      <w:pPr>
        <w:spacing w:before="0" w:after="160" w:line="336" w:lineRule="auto"/>
      </w:pPr>
      <w:r>
        <w:rPr>
          <w:rFonts w:ascii="Manrope" w:hAnsi="Manrope"/>
          <w:b w:val="0"/>
          <w:sz w:val="22"/>
        </w:rPr>
        <w:t>Confidential Information does not include information that the Receiving Party can demonstrate by written records: (a) was rightfully in its possession without confidentiality obligation prior to disclosure; (b) is or becomes publicly known through no fault of the Receiving Party; (c) is rightfully received from a third party without restriction; or (d) is independently developed without use of or reference to the Confidential Information.</w:t>
      </w:r>
    </w:p>
    <w:p>
      <w:pPr>
        <w:spacing w:before="280" w:after="80" w:line="336" w:lineRule="auto"/>
      </w:pPr>
      <w:r>
        <w:rPr>
          <w:rFonts w:ascii="Space Grotesk" w:hAnsi="Space Grotesk"/>
          <w:b/>
          <w:color w:val="0E7490"/>
          <w:sz w:val="23"/>
        </w:rPr>
        <w:t>4.  OBLIGATIONS</w:t>
      </w:r>
    </w:p>
    <w:p>
      <w:pPr>
        <w:spacing w:before="0" w:after="160" w:line="336" w:lineRule="auto"/>
      </w:pPr>
      <w:r>
        <w:rPr>
          <w:rFonts w:ascii="Manrope" w:hAnsi="Manrope"/>
          <w:b w:val="0"/>
          <w:sz w:val="22"/>
        </w:rPr>
        <w:t>The Receiving Party shall:</w:t>
      </w:r>
    </w:p>
    <w:p>
      <w:pPr>
        <w:pStyle w:val="ListNumber"/>
        <w:spacing w:before="0" w:after="80" w:line="336" w:lineRule="auto"/>
      </w:pPr>
      <w:r>
        <w:rPr>
          <w:rFonts w:ascii="Manrope" w:hAnsi="Manrope"/>
          <w:b w:val="0"/>
          <w:sz w:val="22"/>
        </w:rPr>
        <w:t>Use Confidential Information solely for the Purpose;</w:t>
      </w:r>
    </w:p>
    <w:p>
      <w:pPr>
        <w:pStyle w:val="ListNumber"/>
        <w:spacing w:before="0" w:after="80" w:line="336" w:lineRule="auto"/>
      </w:pPr>
      <w:r>
        <w:rPr>
          <w:rFonts w:ascii="Manrope" w:hAnsi="Manrope"/>
          <w:b w:val="0"/>
          <w:sz w:val="22"/>
        </w:rPr>
        <w:t>Protect Confidential Information using at least the same degree of care it uses for its own confidential information, and in no event less than reasonable care;</w:t>
      </w:r>
    </w:p>
    <w:p>
      <w:pPr>
        <w:pStyle w:val="ListNumber"/>
        <w:spacing w:before="0" w:after="80" w:line="336" w:lineRule="auto"/>
      </w:pPr>
      <w:r>
        <w:rPr>
          <w:rFonts w:ascii="Manrope" w:hAnsi="Manrope"/>
          <w:b w:val="0"/>
          <w:sz w:val="22"/>
        </w:rPr>
        <w:t>Not disclose Confidential Information to any third party except to its employees, contractors, and advisors who have a need to know for the Purpose and who are bound by written confidentiality obligations at least as protective as this Agreement (the Receiving Party remains responsible for their compliance);</w:t>
      </w:r>
    </w:p>
    <w:p>
      <w:pPr>
        <w:pStyle w:val="ListNumber"/>
        <w:spacing w:before="0" w:after="80" w:line="336" w:lineRule="auto"/>
      </w:pPr>
      <w:r>
        <w:rPr>
          <w:rFonts w:ascii="Manrope" w:hAnsi="Manrope"/>
          <w:b w:val="0"/>
          <w:sz w:val="22"/>
        </w:rPr>
        <w:t>Not copy, reproduce, or create derivative works of Confidential Information except as reasonably necessary for the Purpose;</w:t>
      </w:r>
    </w:p>
    <w:p>
      <w:pPr>
        <w:pStyle w:val="ListNumber"/>
        <w:spacing w:before="0" w:after="80" w:line="336" w:lineRule="auto"/>
      </w:pPr>
      <w:r>
        <w:rPr>
          <w:rFonts w:ascii="Manrope" w:hAnsi="Manrope"/>
          <w:b/>
          <w:sz w:val="22"/>
        </w:rPr>
        <w:t>Not reverse engineer, decompile, disassemble, or otherwise attempt to derive</w:t>
      </w:r>
      <w:r>
        <w:rPr>
          <w:rFonts w:ascii="Manrope" w:hAnsi="Manrope"/>
          <w:b w:val="0"/>
          <w:sz w:val="22"/>
        </w:rPr>
        <w:t xml:space="preserve"> the source code, models, prompts, training data, or underlying methodology of AIOS;</w:t>
      </w:r>
    </w:p>
    <w:p>
      <w:pPr>
        <w:pStyle w:val="ListNumber"/>
        <w:spacing w:before="0" w:after="80" w:line="336" w:lineRule="auto"/>
      </w:pPr>
      <w:r>
        <w:rPr>
          <w:rFonts w:ascii="Manrope" w:hAnsi="Manrope"/>
          <w:b/>
          <w:sz w:val="22"/>
        </w:rPr>
        <w:t>Not use AIOS outputs, demonstrations, or Confidential Information to train, fine-tune, or develop any competing AI system, agent platform, or model;</w:t>
      </w:r>
    </w:p>
    <w:p>
      <w:pPr>
        <w:pStyle w:val="ListNumber"/>
        <w:spacing w:before="0" w:after="80" w:line="336" w:lineRule="auto"/>
      </w:pPr>
      <w:r>
        <w:rPr>
          <w:rFonts w:ascii="Manrope" w:hAnsi="Manrope"/>
          <w:b/>
          <w:sz w:val="22"/>
        </w:rPr>
        <w:t>Not benchmark, publish performance comparisons, or disclose evaluation results</w:t>
      </w:r>
      <w:r>
        <w:rPr>
          <w:rFonts w:ascii="Manrope" w:hAnsi="Manrope"/>
          <w:b w:val="0"/>
          <w:sz w:val="22"/>
        </w:rPr>
        <w:t xml:space="preserve"> regarding AIOS without cvlSoft’s prior written consent.</w:t>
      </w:r>
    </w:p>
    <w:p>
      <w:pPr>
        <w:spacing w:before="280" w:after="80" w:line="336" w:lineRule="auto"/>
      </w:pPr>
      <w:r>
        <w:rPr>
          <w:rFonts w:ascii="Space Grotesk" w:hAnsi="Space Grotesk"/>
          <w:b/>
          <w:color w:val="0E7490"/>
          <w:sz w:val="23"/>
        </w:rPr>
        <w:t>5.  COMPELLED DISCLOSURE</w:t>
      </w:r>
    </w:p>
    <w:p>
      <w:pPr>
        <w:spacing w:before="0" w:after="160" w:line="336" w:lineRule="auto"/>
      </w:pPr>
      <w:r>
        <w:rPr>
          <w:rFonts w:ascii="Manrope" w:hAnsi="Manrope"/>
          <w:b w:val="0"/>
          <w:sz w:val="22"/>
        </w:rPr>
        <w:t>If the Receiving Party is legally compelled to disclose Confidential Information, it shall (to the extent legally permitted) give the Disclosing Party prompt written notice and reasonable cooperation so the Disclosing Party may seek a protective order. Only the portion legally required may be disclosed.</w:t>
      </w:r>
    </w:p>
    <w:p>
      <w:pPr>
        <w:spacing w:before="280" w:after="80" w:line="336" w:lineRule="auto"/>
      </w:pPr>
      <w:r>
        <w:rPr>
          <w:rFonts w:ascii="Space Grotesk" w:hAnsi="Space Grotesk"/>
          <w:b/>
          <w:color w:val="0E7490"/>
          <w:sz w:val="23"/>
        </w:rPr>
        <w:t>6.  TERM</w:t>
      </w:r>
    </w:p>
    <w:p>
      <w:pPr>
        <w:spacing w:before="0" w:after="160" w:line="336" w:lineRule="auto"/>
      </w:pPr>
      <w:r>
        <w:rPr>
          <w:rFonts w:ascii="Manrope" w:hAnsi="Manrope"/>
          <w:b w:val="0"/>
          <w:sz w:val="22"/>
        </w:rPr>
        <w:t xml:space="preserve">This Agreement is effective as of the Effective Date and continues for </w:t>
      </w:r>
      <w:r>
        <w:rPr>
          <w:rFonts w:ascii="Manrope" w:hAnsi="Manrope"/>
          <w:b/>
          <w:sz w:val="22"/>
        </w:rPr>
        <w:t>two (2) years</w:t>
      </w:r>
      <w:r>
        <w:rPr>
          <w:rFonts w:ascii="Manrope" w:hAnsi="Manrope"/>
          <w:b w:val="0"/>
          <w:sz w:val="22"/>
        </w:rPr>
        <w:t xml:space="preserve">. The Receiving Party’s confidentiality obligations survive termination and continue for </w:t>
      </w:r>
      <w:r>
        <w:rPr>
          <w:rFonts w:ascii="Manrope" w:hAnsi="Manrope"/>
          <w:b/>
          <w:sz w:val="22"/>
        </w:rPr>
        <w:t>five (5) years</w:t>
      </w:r>
      <w:r>
        <w:rPr>
          <w:rFonts w:ascii="Manrope" w:hAnsi="Manrope"/>
          <w:b w:val="0"/>
          <w:sz w:val="22"/>
        </w:rPr>
        <w:t xml:space="preserve"> after disclosure of the relevant Confidential Information; obligations regarding trade secrets continue for as long as the information qualifies as a trade secret under applicable law.</w:t>
      </w:r>
    </w:p>
    <w:p>
      <w:pPr>
        <w:spacing w:before="280" w:after="80" w:line="336" w:lineRule="auto"/>
      </w:pPr>
      <w:r>
        <w:rPr>
          <w:rFonts w:ascii="Space Grotesk" w:hAnsi="Space Grotesk"/>
          <w:b/>
          <w:color w:val="0E7490"/>
          <w:sz w:val="23"/>
        </w:rPr>
        <w:t>7.  RETURN OR DESTRUCTION</w:t>
      </w:r>
    </w:p>
    <w:p>
      <w:pPr>
        <w:spacing w:before="0" w:after="160" w:line="336" w:lineRule="auto"/>
      </w:pPr>
      <w:r>
        <w:rPr>
          <w:rFonts w:ascii="Manrope" w:hAnsi="Manrope"/>
          <w:b w:val="0"/>
          <w:sz w:val="22"/>
        </w:rPr>
        <w:t>Upon the Disclosing Party’s written request or termination of discussions, the Receiving Party shall promptly return or destroy all Confidential Information (and certify destruction in writing if requested), except for one archival copy retained by legal counsel solely for compliance and one copy retained automatically by routine backup systems, both of which remain subject to this Agreement.</w:t>
      </w:r>
    </w:p>
    <w:p>
      <w:pPr>
        <w:spacing w:before="280" w:after="80" w:line="336" w:lineRule="auto"/>
      </w:pPr>
      <w:r>
        <w:rPr>
          <w:rFonts w:ascii="Space Grotesk" w:hAnsi="Space Grotesk"/>
          <w:b/>
          <w:color w:val="0E7490"/>
          <w:sz w:val="23"/>
        </w:rPr>
        <w:t>8.  NO LICENSE; NO OBLIGATION</w:t>
      </w:r>
    </w:p>
    <w:p>
      <w:pPr>
        <w:spacing w:before="0" w:after="160" w:line="336" w:lineRule="auto"/>
      </w:pPr>
      <w:r>
        <w:rPr>
          <w:rFonts w:ascii="Manrope" w:hAnsi="Manrope"/>
          <w:b w:val="0"/>
          <w:sz w:val="22"/>
        </w:rPr>
        <w:t>No license or other rights to Confidential Information, intellectual property, or AIOS are granted by this Agreement, by implication, estoppel, or otherwise. Nothing in this Agreement obligates either Party to enter into any further business relationship.</w:t>
      </w:r>
    </w:p>
    <w:p>
      <w:pPr>
        <w:spacing w:before="280" w:after="80" w:line="336" w:lineRule="auto"/>
      </w:pPr>
      <w:r>
        <w:rPr>
          <w:rFonts w:ascii="Space Grotesk" w:hAnsi="Space Grotesk"/>
          <w:b/>
          <w:color w:val="0E7490"/>
          <w:sz w:val="23"/>
        </w:rPr>
        <w:t>9.  NO WARRANTY</w:t>
      </w:r>
    </w:p>
    <w:p>
      <w:pPr>
        <w:spacing w:before="0" w:after="160" w:line="336" w:lineRule="auto"/>
      </w:pPr>
      <w:r>
        <w:rPr>
          <w:rFonts w:ascii="Manrope" w:hAnsi="Manrope"/>
          <w:b w:val="0"/>
          <w:sz w:val="22"/>
        </w:rPr>
        <w:t xml:space="preserve">Confidential Information is provided </w:t>
      </w:r>
      <w:r>
        <w:rPr>
          <w:rFonts w:ascii="Manrope" w:hAnsi="Manrope"/>
          <w:b/>
          <w:sz w:val="22"/>
        </w:rPr>
        <w:t>“AS IS”</w:t>
      </w:r>
      <w:r>
        <w:rPr>
          <w:rFonts w:ascii="Manrope" w:hAnsi="Manrope"/>
          <w:b w:val="0"/>
          <w:sz w:val="22"/>
        </w:rPr>
        <w:t xml:space="preserve"> without warranty of any kind. The Disclosing Party is not liable for any errors or omissions in, or for any decisions made by the Receiving Party in reliance on, the Confidential Information.</w:t>
      </w:r>
    </w:p>
    <w:p>
      <w:pPr>
        <w:spacing w:before="280" w:after="80" w:line="336" w:lineRule="auto"/>
      </w:pPr>
      <w:r>
        <w:rPr>
          <w:rFonts w:ascii="Space Grotesk" w:hAnsi="Space Grotesk"/>
          <w:b/>
          <w:color w:val="0E7490"/>
          <w:sz w:val="23"/>
        </w:rPr>
        <w:t>10.  REMEDIES</w:t>
      </w:r>
    </w:p>
    <w:p>
      <w:pPr>
        <w:spacing w:before="0" w:after="160" w:line="336" w:lineRule="auto"/>
      </w:pPr>
      <w:r>
        <w:rPr>
          <w:rFonts w:ascii="Manrope" w:hAnsi="Manrope"/>
          <w:b w:val="0"/>
          <w:sz w:val="22"/>
        </w:rPr>
        <w:t>The Receiving Party acknowledges that unauthorized use or disclosure of Confidential Information would cause irreparable harm for which monetary damages may be inadequate. The Disclosing Party is therefore entitled to seek injunctive and other equitable relief, in addition to all other remedies available at law or in equity, without the requirement of posting bond.</w:t>
      </w:r>
    </w:p>
    <w:p>
      <w:pPr>
        <w:spacing w:before="280" w:after="80" w:line="336" w:lineRule="auto"/>
      </w:pPr>
      <w:r>
        <w:rPr>
          <w:rFonts w:ascii="Space Grotesk" w:hAnsi="Space Grotesk"/>
          <w:b/>
          <w:color w:val="0E7490"/>
          <w:sz w:val="23"/>
        </w:rPr>
        <w:t>11.  GOVERNING LAW; VENUE</w:t>
      </w:r>
    </w:p>
    <w:p>
      <w:pPr>
        <w:spacing w:before="0" w:after="160" w:line="336" w:lineRule="auto"/>
      </w:pPr>
      <w:r>
        <w:rPr>
          <w:rFonts w:ascii="Manrope" w:hAnsi="Manrope"/>
          <w:b w:val="0"/>
          <w:sz w:val="22"/>
        </w:rPr>
        <w:t xml:space="preserve">This Agreement is governed by the laws of the </w:t>
      </w:r>
      <w:r>
        <w:rPr>
          <w:rFonts w:ascii="Manrope" w:hAnsi="Manrope"/>
          <w:b/>
          <w:sz w:val="22"/>
        </w:rPr>
        <w:t>State of Georgia</w:t>
      </w:r>
      <w:r>
        <w:rPr>
          <w:rFonts w:ascii="Manrope" w:hAnsi="Manrope"/>
          <w:b w:val="0"/>
          <w:sz w:val="22"/>
        </w:rPr>
        <w:t xml:space="preserve">, without regard to its conflict-of-laws principles. The Parties consent to the exclusive jurisdiction and venue of the state and federal courts located in </w:t>
      </w:r>
      <w:r>
        <w:rPr>
          <w:rFonts w:ascii="Manrope" w:hAnsi="Manrope"/>
          <w:b/>
          <w:color w:val="0E7490"/>
          <w:sz w:val="22"/>
        </w:rPr>
        <w:t>[COUNTY]</w:t>
      </w:r>
      <w:r>
        <w:rPr>
          <w:rFonts w:ascii="Manrope" w:hAnsi="Manrope"/>
          <w:b w:val="0"/>
          <w:sz w:val="22"/>
        </w:rPr>
        <w:t>, Georgia for any dispute arising under this Agreement.</w:t>
      </w:r>
    </w:p>
    <w:p>
      <w:pPr>
        <w:spacing w:before="280" w:after="80" w:line="336" w:lineRule="auto"/>
      </w:pPr>
      <w:r>
        <w:rPr>
          <w:rFonts w:ascii="Space Grotesk" w:hAnsi="Space Grotesk"/>
          <w:b/>
          <w:color w:val="0E7490"/>
          <w:sz w:val="23"/>
        </w:rPr>
        <w:t>12.  MISCELLANEOUS</w:t>
      </w:r>
    </w:p>
    <w:p>
      <w:pPr>
        <w:spacing w:before="0" w:after="80" w:line="336" w:lineRule="auto"/>
      </w:pPr>
      <w:r>
        <w:rPr>
          <w:rFonts w:ascii="Manrope" w:hAnsi="Manrope"/>
          <w:b/>
          <w:sz w:val="22"/>
        </w:rPr>
        <w:t>Entire Agreement.</w:t>
      </w:r>
      <w:r>
        <w:rPr>
          <w:rFonts w:ascii="Manrope" w:hAnsi="Manrope"/>
          <w:b w:val="0"/>
          <w:sz w:val="22"/>
        </w:rPr>
        <w:t xml:space="preserve"> This Agreement is the entire agreement between the Parties regarding its subject and supersedes all prior or contemporaneous understandings.</w:t>
      </w:r>
    </w:p>
    <w:p>
      <w:pPr>
        <w:spacing w:before="0" w:after="80" w:line="336" w:lineRule="auto"/>
      </w:pPr>
      <w:r>
        <w:rPr>
          <w:rFonts w:ascii="Manrope" w:hAnsi="Manrope"/>
          <w:b/>
          <w:sz w:val="22"/>
        </w:rPr>
        <w:t>Amendments.</w:t>
      </w:r>
      <w:r>
        <w:rPr>
          <w:rFonts w:ascii="Manrope" w:hAnsi="Manrope"/>
          <w:b w:val="0"/>
          <w:sz w:val="22"/>
        </w:rPr>
        <w:t xml:space="preserve"> Any amendment must be in a writing signed by both Parties.</w:t>
      </w:r>
    </w:p>
    <w:p>
      <w:pPr>
        <w:spacing w:before="0" w:after="80" w:line="336" w:lineRule="auto"/>
      </w:pPr>
      <w:r>
        <w:rPr>
          <w:rFonts w:ascii="Manrope" w:hAnsi="Manrope"/>
          <w:b/>
          <w:sz w:val="22"/>
        </w:rPr>
        <w:t>Assignment.</w:t>
      </w:r>
      <w:r>
        <w:rPr>
          <w:rFonts w:ascii="Manrope" w:hAnsi="Manrope"/>
          <w:b w:val="0"/>
          <w:sz w:val="22"/>
        </w:rPr>
        <w:t xml:space="preserve"> The Receiving Party may not assign this Agreement without cvlSoft’s prior written consent. cvlSoft may assign to an affiliate or successor.</w:t>
      </w:r>
    </w:p>
    <w:p>
      <w:pPr>
        <w:spacing w:before="0" w:after="80" w:line="336" w:lineRule="auto"/>
      </w:pPr>
      <w:r>
        <w:rPr>
          <w:rFonts w:ascii="Manrope" w:hAnsi="Manrope"/>
          <w:b/>
          <w:sz w:val="22"/>
        </w:rPr>
        <w:t>Severability.</w:t>
      </w:r>
      <w:r>
        <w:rPr>
          <w:rFonts w:ascii="Manrope" w:hAnsi="Manrope"/>
          <w:b w:val="0"/>
          <w:sz w:val="22"/>
        </w:rPr>
        <w:t xml:space="preserve"> If any provision is held unenforceable, the remainder remains in effect.</w:t>
      </w:r>
    </w:p>
    <w:p>
      <w:pPr>
        <w:spacing w:before="0" w:after="80" w:line="336" w:lineRule="auto"/>
      </w:pPr>
      <w:r>
        <w:rPr>
          <w:rFonts w:ascii="Manrope" w:hAnsi="Manrope"/>
          <w:b/>
          <w:sz w:val="22"/>
        </w:rPr>
        <w:t>Waiver.</w:t>
      </w:r>
      <w:r>
        <w:rPr>
          <w:rFonts w:ascii="Manrope" w:hAnsi="Manrope"/>
          <w:b w:val="0"/>
          <w:sz w:val="22"/>
        </w:rPr>
        <w:t xml:space="preserve"> No failure or delay in exercising a right is a waiver of it.</w:t>
      </w:r>
    </w:p>
    <w:p>
      <w:pPr>
        <w:spacing w:before="0" w:after="80" w:line="336" w:lineRule="auto"/>
      </w:pPr>
      <w:r>
        <w:rPr>
          <w:rFonts w:ascii="Manrope" w:hAnsi="Manrope"/>
          <w:b/>
          <w:sz w:val="22"/>
        </w:rPr>
        <w:t>Counterparts; Electronic Signature.</w:t>
      </w:r>
      <w:r>
        <w:rPr>
          <w:rFonts w:ascii="Manrope" w:hAnsi="Manrope"/>
          <w:b w:val="0"/>
          <w:sz w:val="22"/>
        </w:rPr>
        <w:t xml:space="preserve"> This Agreement may be signed in counterparts and by electronic signature, each of which is deemed an original.</w:t>
      </w:r>
    </w:p>
    <w:p>
      <w:pPr>
        <w:spacing w:before="0" w:after="80" w:line="336" w:lineRule="auto"/>
      </w:pPr>
      <w:r>
        <w:rPr>
          <w:rFonts w:ascii="Manrope" w:hAnsi="Manrope"/>
          <w:b/>
          <w:sz w:val="22"/>
        </w:rPr>
        <w:t>Notices.</w:t>
      </w:r>
      <w:r>
        <w:rPr>
          <w:rFonts w:ascii="Manrope" w:hAnsi="Manrope"/>
          <w:b w:val="0"/>
          <w:sz w:val="22"/>
        </w:rPr>
        <w:t xml:space="preserve"> Notices must be in writing and delivered to the addresses above (or to an updated address provided in writing).</w:t>
      </w:r>
    </w:p>
    <w:p>
      <w:pPr>
        <w:spacing w:before="280" w:after="280" w:line="336" w:lineRule="auto"/>
        <w:pBdr>
          <w:bottom w:val="single" w:sz="8" w:color="cbd5e1"/>
        </w:pBdr>
      </w:pPr>
    </w:p>
    <w:p>
      <w:pPr>
        <w:spacing w:before="0" w:after="240" w:line="336" w:lineRule="auto"/>
      </w:pPr>
      <w:r>
        <w:rPr>
          <w:rFonts w:ascii="Manrope" w:hAnsi="Manrope"/>
          <w:b/>
          <w:sz w:val="22"/>
        </w:rPr>
        <w:t>IN WITNESS WHEREOF</w:t>
      </w:r>
      <w:r>
        <w:rPr>
          <w:rFonts w:ascii="Manrope" w:hAnsi="Manrope"/>
          <w:b w:val="0"/>
          <w:sz w:val="22"/>
        </w:rPr>
        <w:t>, the Parties have executed this Agreement as of the Effective Date.</w:t>
      </w:r>
    </w:p>
    <w:p>
      <w:pPr>
        <w:spacing w:before="160" w:after="80" w:line="336" w:lineRule="auto"/>
      </w:pPr>
      <w:r>
        <w:rPr>
          <w:rFonts w:ascii="Manrope" w:hAnsi="Manrope"/>
          <w:b/>
          <w:sz w:val="22"/>
        </w:rPr>
        <w:t>cvlSoft, LLC</w:t>
      </w:r>
    </w:p>
    <w:p>
      <w:pPr>
        <w:spacing w:before="0" w:after="40" w:line="336" w:lineRule="auto"/>
      </w:pPr>
      <w:r>
        <w:rPr>
          <w:rFonts w:ascii="Manrope" w:hAnsi="Manrope"/>
          <w:b w:val="0"/>
          <w:color w:val="64748B"/>
          <w:sz w:val="22"/>
        </w:rPr>
        <w:t>____________________________________________________________</w:t>
      </w:r>
    </w:p>
    <w:p>
      <w:pPr>
        <w:spacing w:before="0" w:after="160" w:line="336" w:lineRule="auto"/>
      </w:pPr>
      <w:r>
        <w:rPr>
          <w:rFonts w:ascii="IBM Plex Mono" w:hAnsi="IBM Plex Mono"/>
          <w:b w:val="0"/>
          <w:color w:val="64748B"/>
          <w:sz w:val="16"/>
        </w:rPr>
        <w:t>By (signature)</w:t>
      </w:r>
    </w:p>
    <w:p>
      <w:pPr>
        <w:spacing w:before="0" w:after="40" w:line="336" w:lineRule="auto"/>
      </w:pPr>
      <w:r>
        <w:rPr>
          <w:rFonts w:ascii="Manrope" w:hAnsi="Manrope"/>
          <w:b w:val="0"/>
          <w:color w:val="64748B"/>
          <w:sz w:val="22"/>
        </w:rPr>
        <w:t>____________________________________________________________</w:t>
      </w:r>
    </w:p>
    <w:p>
      <w:pPr>
        <w:spacing w:before="0" w:after="160" w:line="336" w:lineRule="auto"/>
      </w:pPr>
      <w:r>
        <w:rPr>
          <w:rFonts w:ascii="IBM Plex Mono" w:hAnsi="IBM Plex Mono"/>
          <w:b w:val="0"/>
          <w:color w:val="64748B"/>
          <w:sz w:val="16"/>
        </w:rPr>
        <w:t>Name</w:t>
      </w:r>
    </w:p>
    <w:p>
      <w:pPr>
        <w:spacing w:before="0" w:after="40" w:line="336" w:lineRule="auto"/>
      </w:pPr>
      <w:r>
        <w:rPr>
          <w:rFonts w:ascii="Manrope" w:hAnsi="Manrope"/>
          <w:b w:val="0"/>
          <w:color w:val="64748B"/>
          <w:sz w:val="22"/>
        </w:rPr>
        <w:t>____________________________________________________________</w:t>
      </w:r>
    </w:p>
    <w:p>
      <w:pPr>
        <w:spacing w:before="0" w:after="160" w:line="336" w:lineRule="auto"/>
      </w:pPr>
      <w:r>
        <w:rPr>
          <w:rFonts w:ascii="IBM Plex Mono" w:hAnsi="IBM Plex Mono"/>
          <w:b w:val="0"/>
          <w:color w:val="64748B"/>
          <w:sz w:val="16"/>
        </w:rPr>
        <w:t>Title</w:t>
      </w:r>
    </w:p>
    <w:p>
      <w:pPr>
        <w:spacing w:before="0" w:after="40" w:line="336" w:lineRule="auto"/>
      </w:pPr>
      <w:r>
        <w:rPr>
          <w:rFonts w:ascii="Manrope" w:hAnsi="Manrope"/>
          <w:b w:val="0"/>
          <w:color w:val="64748B"/>
          <w:sz w:val="22"/>
        </w:rPr>
        <w:t>____________________________________________________________</w:t>
      </w:r>
    </w:p>
    <w:p>
      <w:pPr>
        <w:spacing w:before="0" w:after="160" w:line="336" w:lineRule="auto"/>
      </w:pPr>
      <w:r>
        <w:rPr>
          <w:rFonts w:ascii="IBM Plex Mono" w:hAnsi="IBM Plex Mono"/>
          <w:b w:val="0"/>
          <w:color w:val="64748B"/>
          <w:sz w:val="16"/>
        </w:rPr>
        <w:t>Date</w:t>
      </w:r>
    </w:p>
    <w:p>
      <w:pPr>
        <w:spacing w:before="160" w:after="80" w:line="336" w:lineRule="auto"/>
      </w:pPr>
      <w:r>
        <w:rPr>
          <w:rFonts w:ascii="Manrope" w:hAnsi="Manrope"/>
          <w:b/>
          <w:color w:val="0E7490"/>
          <w:sz w:val="22"/>
        </w:rPr>
        <w:t>[COUNTERPARTY NAME]</w:t>
      </w:r>
    </w:p>
    <w:p>
      <w:pPr>
        <w:spacing w:before="0" w:after="40" w:line="336" w:lineRule="auto"/>
      </w:pPr>
      <w:r>
        <w:rPr>
          <w:rFonts w:ascii="Manrope" w:hAnsi="Manrope"/>
          <w:b w:val="0"/>
          <w:color w:val="64748B"/>
          <w:sz w:val="22"/>
        </w:rPr>
        <w:t>____________________________________________________________</w:t>
      </w:r>
    </w:p>
    <w:p>
      <w:pPr>
        <w:spacing w:before="0" w:after="160" w:line="336" w:lineRule="auto"/>
      </w:pPr>
      <w:r>
        <w:rPr>
          <w:rFonts w:ascii="IBM Plex Mono" w:hAnsi="IBM Plex Mono"/>
          <w:b w:val="0"/>
          <w:color w:val="64748B"/>
          <w:sz w:val="16"/>
        </w:rPr>
        <w:t>By (signature)</w:t>
      </w:r>
    </w:p>
    <w:p>
      <w:pPr>
        <w:spacing w:before="0" w:after="40" w:line="336" w:lineRule="auto"/>
      </w:pPr>
      <w:r>
        <w:rPr>
          <w:rFonts w:ascii="Manrope" w:hAnsi="Manrope"/>
          <w:b w:val="0"/>
          <w:color w:val="64748B"/>
          <w:sz w:val="22"/>
        </w:rPr>
        <w:t>____________________________________________________________</w:t>
      </w:r>
    </w:p>
    <w:p>
      <w:pPr>
        <w:spacing w:before="0" w:after="160" w:line="336" w:lineRule="auto"/>
      </w:pPr>
      <w:r>
        <w:rPr>
          <w:rFonts w:ascii="IBM Plex Mono" w:hAnsi="IBM Plex Mono"/>
          <w:b w:val="0"/>
          <w:color w:val="64748B"/>
          <w:sz w:val="16"/>
        </w:rPr>
        <w:t>Name</w:t>
      </w:r>
    </w:p>
    <w:p>
      <w:pPr>
        <w:spacing w:before="0" w:after="40" w:line="336" w:lineRule="auto"/>
      </w:pPr>
      <w:r>
        <w:rPr>
          <w:rFonts w:ascii="Manrope" w:hAnsi="Manrope"/>
          <w:b w:val="0"/>
          <w:color w:val="64748B"/>
          <w:sz w:val="22"/>
        </w:rPr>
        <w:t>____________________________________________________________</w:t>
      </w:r>
    </w:p>
    <w:p>
      <w:pPr>
        <w:spacing w:before="0" w:after="160" w:line="336" w:lineRule="auto"/>
      </w:pPr>
      <w:r>
        <w:rPr>
          <w:rFonts w:ascii="IBM Plex Mono" w:hAnsi="IBM Plex Mono"/>
          <w:b w:val="0"/>
          <w:color w:val="64748B"/>
          <w:sz w:val="16"/>
        </w:rPr>
        <w:t>Title</w:t>
      </w:r>
    </w:p>
    <w:p>
      <w:pPr>
        <w:spacing w:before="0" w:after="40" w:line="336" w:lineRule="auto"/>
      </w:pPr>
      <w:r>
        <w:rPr>
          <w:rFonts w:ascii="Manrope" w:hAnsi="Manrope"/>
          <w:b w:val="0"/>
          <w:color w:val="64748B"/>
          <w:sz w:val="22"/>
        </w:rPr>
        <w:t>____________________________________________________________</w:t>
      </w:r>
    </w:p>
    <w:p>
      <w:pPr>
        <w:spacing w:before="0" w:after="160" w:line="336" w:lineRule="auto"/>
      </w:pPr>
      <w:r>
        <w:rPr>
          <w:rFonts w:ascii="IBM Plex Mono" w:hAnsi="IBM Plex Mono"/>
          <w:b w:val="0"/>
          <w:color w:val="64748B"/>
          <w:sz w:val="16"/>
        </w:rPr>
        <w:t>Date</w:t>
      </w:r>
    </w:p>
    <w:p>
      <w:pPr>
        <w:spacing w:before="360" w:after="80" w:line="336" w:lineRule="auto"/>
        <w:pBdr>
          <w:left w:val="single" w:sz="24" w:space="8" w:color="fb7185"/>
        </w:pBdr>
        <w:ind w:left="160"/>
      </w:pPr>
      <w:r>
        <w:rPr>
          <w:rFonts w:ascii="Manrope" w:hAnsi="Manrope"/>
          <w:b/>
          <w:color w:val="0F172A"/>
          <w:sz w:val="20"/>
        </w:rPr>
        <w:t xml:space="preserve">Not legal advice. </w:t>
      </w:r>
      <w:r>
        <w:rPr>
          <w:rFonts w:ascii="Manrope" w:hAnsi="Manrope"/>
          <w:b w:val="0"/>
          <w:color w:val="475569"/>
          <w:sz w:val="20"/>
        </w:rPr>
        <w:t>This template was generated as a starting draft. Have qualified counsel review and tailor before use. Pay particular attention to Sections 4.5–4.7 (AIOS-specific restrictions), Section 6 (term and trade-secret survival), and Section 11 (Georgia venue / county).</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rope" w:hAnsi="Manrope"/>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