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6bff411242b46a90be250f9b422ddcc4ae4de0"/>
    <w:p>
      <w:pPr>
        <w:pStyle w:val="Heading1"/>
      </w:pPr>
      <w:r>
        <w:t xml:space="preserve">Atlas IP-as-Share-Consideration — Confirmation Record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April 20, 2026</w:t>
      </w:r>
      <w:r>
        <w:t xml:space="preserve"> </w:t>
      </w:r>
      <w:r>
        <w:rPr>
          <w:bCs/>
          <w:b/>
        </w:rPr>
        <w:t xml:space="preserve">Context:</w:t>
      </w:r>
      <w:r>
        <w:t xml:space="preserve"> </w:t>
      </w:r>
      <w:r>
        <w:t xml:space="preserve">Stripe Atlas formation of Modulor, Inc. — Equity Terms step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Documented record of the share purchase / IP assignment decision at incorporation</w:t>
      </w:r>
    </w:p>
    <w:p>
      <w:r>
        <w:pict>
          <v:rect style="width:0;height:1.5pt" o:hralign="center" o:hrstd="t" o:hr="t"/>
        </w:pict>
      </w:r>
    </w:p>
    <w:bookmarkStart w:id="20" w:name="why-this-record-exists"/>
    <w:p>
      <w:pPr>
        <w:pStyle w:val="Heading2"/>
      </w:pPr>
      <w:r>
        <w:t xml:space="preserve">Why this record exists</w:t>
      </w:r>
    </w:p>
    <w:p>
      <w:pPr>
        <w:pStyle w:val="FirstParagraph"/>
      </w:pPr>
      <w:r>
        <w:t xml:space="preserve">At formation, Modulor, Inc. founders pay for their shares using intellectual</w:t>
      </w:r>
      <w:r>
        <w:t xml:space="preserve"> </w:t>
      </w:r>
      <w:r>
        <w:t xml:space="preserve">property they developed prior to incorporation, per Stripe Atlas’s default</w:t>
      </w:r>
      <w:r>
        <w:t xml:space="preserve"> </w:t>
      </w:r>
      <w:r>
        <w:t xml:space="preserve">Restricted Stock Purchase Agreement (RSPA) template. This file documents that</w:t>
      </w:r>
      <w:r>
        <w:t xml:space="preserve"> </w:t>
      </w:r>
      <w:r>
        <w:t xml:space="preserve">this was Atlas’s stated default and the founder’s deliberate choice to accept</w:t>
      </w:r>
      <w:r>
        <w:t xml:space="preserve"> </w:t>
      </w:r>
      <w:r>
        <w:t xml:space="preserve">it, given the de minimis fair market value of the pre-formation IP.</w:t>
      </w:r>
    </w:p>
    <w:bookmarkEnd w:id="20"/>
    <w:bookmarkStart w:id="21" w:name="pre-formation-ip-being-assigned"/>
    <w:p>
      <w:pPr>
        <w:pStyle w:val="Heading2"/>
      </w:pPr>
      <w:r>
        <w:t xml:space="preserve">Pre-formation IP being assigned</w:t>
      </w:r>
    </w:p>
    <w:p>
      <w:pPr>
        <w:pStyle w:val="FirstParagraph"/>
      </w:pPr>
      <w:r>
        <w:t xml:space="preserve">The following IP, developed by Mitchell Lisa prior to incorporation, is</w:t>
      </w:r>
      <w:r>
        <w:t xml:space="preserve"> </w:t>
      </w:r>
      <w:r>
        <w:t xml:space="preserve">contributed to Modulor, Inc. as consideration for founder shares: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VITR-001 provisional patent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VITR-001-PROV-Drawings.pdf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VITR-001-PROV-Specification.pdf</w:t>
      </w:r>
      <w:r>
        <w:t xml:space="preserve"> </w:t>
      </w:r>
      <w:r>
        <w:t xml:space="preserve">in repo root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 specification documents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docs/01-product-definition.md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docs/20-integration-roadmap.md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 assets</w:t>
      </w:r>
      <w:r>
        <w:t xml:space="preserve"> </w:t>
      </w:r>
      <w:r>
        <w:t xml:space="preserve">— Modulor wordmark, icon, design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Pitch and product materials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pitch.html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patent.html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briefs/*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figures/*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</w:t>
      </w:r>
      <w:r>
        <w:t xml:space="preserve"> </w:t>
      </w:r>
      <w:r>
        <w:t xml:space="preserve">— modulor.bio (registered via Vercel)</w:t>
      </w:r>
    </w:p>
    <w:bookmarkEnd w:id="21"/>
    <w:bookmarkStart w:id="22" w:name="X74e16feff78cc180989869fd799a6c52289e8f3"/>
    <w:p>
      <w:pPr>
        <w:pStyle w:val="Heading2"/>
      </w:pPr>
      <w:r>
        <w:t xml:space="preserve">FMV justification (pre-revenue, pre-validation)</w:t>
      </w:r>
    </w:p>
    <w:p>
      <w:pPr>
        <w:pStyle w:val="FirstParagraph"/>
      </w:pPr>
      <w:r>
        <w:t xml:space="preserve">At the time of incorporation, the IP listed above has a fair market value of</w:t>
      </w:r>
      <w:r>
        <w:t xml:space="preserve"> </w:t>
      </w:r>
      <w:r>
        <w:t xml:space="preserve">approximately</w:t>
      </w:r>
      <w:r>
        <w:t xml:space="preserve"> </w:t>
      </w:r>
      <w:r>
        <w:rPr>
          <w:bCs/>
          <w:b/>
        </w:rPr>
        <w:t xml:space="preserve">$0–$100</w:t>
      </w:r>
      <w:r>
        <w:t xml:space="preserve"> </w:t>
      </w:r>
      <w:r>
        <w:t xml:space="preserve">because:</w:t>
      </w:r>
    </w:p>
    <w:p>
      <w:pPr>
        <w:numPr>
          <w:ilvl w:val="0"/>
          <w:numId w:val="1002"/>
        </w:numPr>
        <w:pStyle w:val="Compact"/>
      </w:pPr>
      <w:r>
        <w:t xml:space="preserve">The patent is</w:t>
      </w:r>
      <w:r>
        <w:t xml:space="preserve"> </w:t>
      </w:r>
      <w:r>
        <w:rPr>
          <w:bCs/>
          <w:b/>
        </w:rPr>
        <w:t xml:space="preserve">provisional only</w:t>
      </w:r>
      <w:r>
        <w:t xml:space="preserve"> </w:t>
      </w:r>
      <w:r>
        <w:t xml:space="preserve">— not issued, not defensible, 12-month</w:t>
      </w:r>
      <w:r>
        <w:t xml:space="preserve"> </w:t>
      </w:r>
      <w:r>
        <w:t xml:space="preserve">placeholder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commercialization</w:t>
      </w:r>
      <w:r>
        <w:t xml:space="preserve"> </w:t>
      </w:r>
      <w:r>
        <w:t xml:space="preserve">— no product built, no prototype shipped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revenue, no customers, no licensing deals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prior valuation event</w:t>
      </w:r>
      <w:r>
        <w:t xml:space="preserve"> </w:t>
      </w:r>
      <w:r>
        <w:t xml:space="preserve">— no investor, no acquisition offer, no</w:t>
      </w:r>
      <w:r>
        <w:t xml:space="preserve"> </w:t>
      </w:r>
      <w:r>
        <w:t xml:space="preserve">licensing inquiry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issued patents and no granted IP rights</w:t>
      </w:r>
    </w:p>
    <w:p>
      <w:pPr>
        <w:pStyle w:val="FirstParagraph"/>
      </w:pPr>
      <w:r>
        <w:t xml:space="preserve">Per IRS guidance, formation-stage IP transfers are not typically challenged</w:t>
      </w:r>
      <w:r>
        <w:t xml:space="preserve"> </w:t>
      </w:r>
      <w:r>
        <w:t xml:space="preserve">absent a valuation trigger (prior sale, revenue, issued/granted IP with</w:t>
      </w:r>
      <w:r>
        <w:t xml:space="preserve"> </w:t>
      </w:r>
      <w:r>
        <w:t xml:space="preserve">established licensing). This grant falls comfortably within standard</w:t>
      </w:r>
      <w:r>
        <w:t xml:space="preserve"> </w:t>
      </w:r>
      <w:r>
        <w:t xml:space="preserve">pre-seed founder IP-assignment practice.</w:t>
      </w:r>
    </w:p>
    <w:bookmarkEnd w:id="22"/>
    <w:bookmarkStart w:id="23" w:name="atlas-exchange-verbatim"/>
    <w:p>
      <w:pPr>
        <w:pStyle w:val="Heading2"/>
      </w:pPr>
      <w:r>
        <w:t xml:space="preserve">Atlas exchange — verbatim</w:t>
      </w:r>
    </w:p>
    <w:p>
      <w:pPr>
        <w:pStyle w:val="FirstParagraph"/>
      </w:pPr>
      <w:r>
        <w:rPr>
          <w:bCs/>
          <w:b/>
        </w:rPr>
        <w:t xml:space="preserve">Question asked via Ask Atlas (April 20, 2026):</w:t>
      </w:r>
    </w:p>
    <w:p>
      <w:pPr>
        <w:pStyle w:val="BlockText"/>
      </w:pPr>
      <w:r>
        <w:t xml:space="preserve">I’ve filed a provisional patent (VITR-001) and developed product</w:t>
      </w:r>
      <w:r>
        <w:t xml:space="preserve"> </w:t>
      </w:r>
      <w:r>
        <w:t xml:space="preserve">specifications before forming. I want to pay cash for my founder shares</w:t>
      </w:r>
      <w:r>
        <w:t xml:space="preserve"> </w:t>
      </w:r>
      <w:r>
        <w:t xml:space="preserve">and execute a separate IP assignment agreement for the pre-existing IP,</w:t>
      </w:r>
      <w:r>
        <w:t xml:space="preserve"> </w:t>
      </w:r>
      <w:r>
        <w:t xml:space="preserve">rather than using IP as share consideration. Can Atlas accommodate?</w:t>
      </w:r>
    </w:p>
    <w:p>
      <w:pPr>
        <w:pStyle w:val="FirstParagraph"/>
      </w:pPr>
      <w:r>
        <w:rPr>
          <w:bCs/>
          <w:b/>
        </w:rPr>
        <w:t xml:space="preserve">Atlas response (verbatim):</w:t>
      </w:r>
    </w:p>
    <w:p>
      <w:pPr>
        <w:pStyle w:val="BlockText"/>
      </w:pPr>
      <w:r>
        <w:t xml:space="preserve">Atlas automatically enables founders to pay for shares using the</w:t>
      </w:r>
      <w:r>
        <w:t xml:space="preserve"> </w:t>
      </w:r>
      <w:r>
        <w:t xml:space="preserve">intellectual property (IP) they have developed. However, if you want to</w:t>
      </w:r>
      <w:r>
        <w:t xml:space="preserve"> </w:t>
      </w:r>
      <w:r>
        <w:t xml:space="preserve">pay cash for your founder shares and execute a separate IP assignment</w:t>
      </w:r>
      <w:r>
        <w:t xml:space="preserve"> </w:t>
      </w:r>
      <w:r>
        <w:t xml:space="preserve">agreement, you may need to work with a legal professional to create that</w:t>
      </w:r>
      <w:r>
        <w:t xml:space="preserve"> </w:t>
      </w:r>
      <w:r>
        <w:t xml:space="preserve">specific arrangement. Atlas generally expects IP related to the company</w:t>
      </w:r>
      <w:r>
        <w:t xml:space="preserve"> </w:t>
      </w:r>
      <w:r>
        <w:t xml:space="preserve">to be contributed at the time of incorporation.</w:t>
      </w:r>
    </w:p>
    <w:bookmarkEnd w:id="23"/>
    <w:bookmarkStart w:id="24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Founder elects to</w:t>
      </w:r>
      <w:r>
        <w:t xml:space="preserve"> </w:t>
      </w:r>
      <w:r>
        <w:rPr>
          <w:bCs/>
          <w:b/>
        </w:rPr>
        <w:t xml:space="preserve">proceed with Atlas’s default</w:t>
      </w:r>
      <w:r>
        <w:t xml:space="preserve"> </w:t>
      </w:r>
      <w:r>
        <w:t xml:space="preserve">IP-as-share-consideration</w:t>
      </w:r>
      <w:r>
        <w:t xml:space="preserve"> </w:t>
      </w:r>
      <w:r>
        <w:t xml:space="preserve">path. Rationale:</w:t>
      </w:r>
    </w:p>
    <w:p>
      <w:pPr>
        <w:numPr>
          <w:ilvl w:val="0"/>
          <w:numId w:val="1003"/>
        </w:numPr>
        <w:pStyle w:val="Compact"/>
      </w:pPr>
      <w:r>
        <w:t xml:space="preserve">Pre-formation IP value is de minimis for the reasons documented above</w:t>
      </w:r>
    </w:p>
    <w:p>
      <w:pPr>
        <w:numPr>
          <w:ilvl w:val="0"/>
          <w:numId w:val="1003"/>
        </w:numPr>
        <w:pStyle w:val="Compact"/>
      </w:pPr>
      <w:r>
        <w:t xml:space="preserve">Cost / time of engaging external counsel for a custom cash + separate IP</w:t>
      </w:r>
      <w:r>
        <w:t xml:space="preserve"> </w:t>
      </w:r>
      <w:r>
        <w:t xml:space="preserve">assignment arrangement is not justified at this stage</w:t>
      </w:r>
    </w:p>
    <w:p>
      <w:pPr>
        <w:numPr>
          <w:ilvl w:val="0"/>
          <w:numId w:val="1003"/>
        </w:numPr>
        <w:pStyle w:val="Compact"/>
      </w:pPr>
      <w:r>
        <w:t xml:space="preserve">Atlas’s RSPA template is industry-standard and was drafted in</w:t>
      </w:r>
      <w:r>
        <w:t xml:space="preserve"> </w:t>
      </w:r>
      <w:r>
        <w:t xml:space="preserve">collaboration with Cooley LLP</w:t>
      </w:r>
    </w:p>
    <w:bookmarkEnd w:id="24"/>
    <w:bookmarkStart w:id="25" w:name="equity-terms-accepted-at-this-step"/>
    <w:p>
      <w:pPr>
        <w:pStyle w:val="Heading2"/>
      </w:pPr>
      <w:r>
        <w:t xml:space="preserve">Equity terms accepted at this step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cliff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incorporation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Vesting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trigger (acquisition + termination without cause)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purchase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Intellectual property (Atlas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Mitchell Lisa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8,800,000 (88%)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pool (unissued)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FMV at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</w:t>
            </w:r>
          </w:p>
        </w:tc>
      </w:tr>
    </w:tbl>
    <w:bookmarkEnd w:id="25"/>
    <w:bookmarkStart w:id="26" w:name="follow-up-actions"/>
    <w:p>
      <w:pPr>
        <w:pStyle w:val="Heading2"/>
      </w:pPr>
      <w:r>
        <w:t xml:space="preserve">Follow-up actions</w:t>
      </w:r>
    </w:p>
    <w:p>
      <w:pPr>
        <w:pStyle w:val="BlockText"/>
      </w:pPr>
      <w:r>
        <w:t xml:space="preserve">This section reflects status as of April 23, 2026 (updated from the</w:t>
      </w:r>
      <w:r>
        <w:t xml:space="preserve"> </w:t>
      </w:r>
      <w:r>
        <w:t xml:space="preserve">original April 20 formation-day checklist). The decision record above</w:t>
      </w:r>
      <w:r>
        <w:t xml:space="preserve"> </w:t>
      </w:r>
      <w:r>
        <w:t xml:space="preserve">is preserved as-written.</w:t>
      </w:r>
    </w:p>
    <w:p>
      <w:pPr>
        <w:numPr>
          <w:ilvl w:val="0"/>
          <w:numId w:val="1004"/>
        </w:numPr>
        <w:pStyle w:val="Compact"/>
      </w:pPr>
      <w:r>
        <w:t xml:space="preserve">☒ Atlas default IP-as-consideration accepted; no separate IP assignment</w:t>
      </w:r>
      <w:r>
        <w:t xml:space="preserve"> </w:t>
      </w:r>
      <w:r>
        <w:t xml:space="preserve">executed. Decision is final as documented above.</w:t>
      </w:r>
    </w:p>
    <w:p>
      <w:pPr>
        <w:numPr>
          <w:ilvl w:val="0"/>
          <w:numId w:val="1004"/>
        </w:numPr>
        <w:pStyle w:val="Compact"/>
      </w:pPr>
      <w:r>
        <w:t xml:space="preserve">☒ 83(b) handling confirmed with Atlas (Apr 23): Atlas mails via USPS</w:t>
      </w:r>
      <w:r>
        <w:t xml:space="preserve"> </w:t>
      </w:r>
      <w:r>
        <w:t xml:space="preserve">Certified within 30 days of each grant. Mitchell’s founder 83(b)</w:t>
      </w:r>
      <w:r>
        <w:t xml:space="preserve"> </w:t>
      </w:r>
      <w:r>
        <w:t xml:space="preserve">postmark by May 6. Luke + Andrew RSPA 83(b) elections auto-filed by</w:t>
      </w:r>
      <w:r>
        <w:t xml:space="preserve"> </w:t>
      </w:r>
      <w:r>
        <w:t xml:space="preserve">Atlas post-EIN as part of the RSPA issuance flow — no separate</w:t>
      </w:r>
      <w:r>
        <w:t xml:space="preserve"> </w:t>
      </w:r>
      <w:r>
        <w:t xml:space="preserve">action required by each founder.</w:t>
      </w:r>
    </w:p>
    <w:p>
      <w:pPr>
        <w:numPr>
          <w:ilvl w:val="0"/>
          <w:numId w:val="1004"/>
        </w:numPr>
        <w:pStyle w:val="Compact"/>
      </w:pPr>
      <w:r>
        <w:t xml:space="preserve">☐ Download executed RSPA + IP assignment language from Atlas once</w:t>
      </w:r>
      <w:r>
        <w:t xml:space="preserve"> </w:t>
      </w:r>
      <w:r>
        <w:t xml:space="preserve">delivered; save to</w:t>
      </w:r>
      <w:r>
        <w:t xml:space="preserve"> </w:t>
      </w:r>
      <w:r>
        <w:rPr>
          <w:rStyle w:val="VerbatimChar"/>
        </w:rPr>
        <w:t xml:space="preserve">private/formation-docs/</w:t>
      </w:r>
      <w:r>
        <w:t xml:space="preserve"> </w:t>
      </w:r>
      <w:r>
        <w:t xml:space="preserve">after signing (gitignored).</w:t>
      </w:r>
    </w:p>
    <w:p>
      <w:pPr>
        <w:numPr>
          <w:ilvl w:val="0"/>
          <w:numId w:val="1004"/>
        </w:numPr>
        <w:pStyle w:val="Compact"/>
      </w:pPr>
      <w:r>
        <w:t xml:space="preserve">☐ Luke’s RSPA — 500,000 common (5%, from Mitchell’s 88% → 83%).</w:t>
      </w:r>
      <w:r>
        <w:t xml:space="preserve"> </w:t>
      </w:r>
      <w:r>
        <w:t xml:space="preserve">Verbally accepted Apr 21, 2026. Executes post-EIN.</w:t>
      </w:r>
    </w:p>
    <w:p>
      <w:pPr>
        <w:numPr>
          <w:ilvl w:val="0"/>
          <w:numId w:val="1004"/>
        </w:numPr>
        <w:pStyle w:val="Compact"/>
      </w:pPr>
      <w:r>
        <w:t xml:space="preserve">☐ Andrew’s RSPA — 500,000 common (5%, from Mitchell’s 83% → 78%).</w:t>
      </w:r>
      <w:r>
        <w:t xml:space="preserve"> </w:t>
      </w:r>
      <w:r>
        <w:t xml:space="preserve">Verbally accepted Apr 21, 2026. Executes post-EIN.</w:t>
      </w:r>
    </w:p>
    <w:p>
      <w:pPr>
        <w:numPr>
          <w:ilvl w:val="0"/>
          <w:numId w:val="1004"/>
        </w:numPr>
        <w:pStyle w:val="Compact"/>
      </w:pPr>
      <w:r>
        <w:t xml:space="preserve">☐ Adam Evans — 100,000 NQSOs (1.0%, FAST Platinum, from pool → 11%</w:t>
      </w:r>
      <w:r>
        <w:t xml:space="preserve"> </w:t>
      </w:r>
      <w:r>
        <w:t xml:space="preserve">remaining). Verbally accepted Apr 22, 2026. Executes post-EIN.</w:t>
      </w:r>
      <w:r>
        <w:t xml:space="preserve"> </w:t>
      </w:r>
      <w:r>
        <w:t xml:space="preserve">(Upgraded from FAST Gold 0.5% on strength of the verbal-acceptance</w:t>
      </w:r>
      <w:r>
        <w:t xml:space="preserve"> </w:t>
      </w:r>
      <w:r>
        <w:t xml:space="preserve">call — PhD, 25 yrs teaching entrepreneurship, 8 yrs CSO at DoD-</w:t>
      </w:r>
      <w:r>
        <w:t xml:space="preserve"> </w:t>
      </w:r>
      <w:r>
        <w:t xml:space="preserve">serving mil-tech startup, AFWERX/SOFWERX judge.)</w:t>
      </w:r>
    </w:p>
    <w:p>
      <w:pPr>
        <w:numPr>
          <w:ilvl w:val="0"/>
          <w:numId w:val="1004"/>
        </w:numPr>
        <w:pStyle w:val="Compact"/>
      </w:pPr>
      <w:r>
        <w:t xml:space="preserve">☐ Patent reassignment Mitchell → Modulor, Inc. — executes post-EIN</w:t>
      </w:r>
      <w:r>
        <w:t xml:space="preserve"> </w:t>
      </w:r>
      <w:r>
        <w:t xml:space="preserve">before first investor check.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2026-04-23T19:53:28Z</dcterms:created>
  <dcterms:modified xsi:type="dcterms:W3CDTF">2026-04-23T19:53:28Z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