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odulor-inc.-formation-record"/>
    <w:p>
      <w:pPr>
        <w:pStyle w:val="Heading1"/>
      </w:pPr>
      <w:r>
        <w:t xml:space="preserve">Modulor, Inc. — Formation Record</w:t>
      </w:r>
    </w:p>
    <w:p>
      <w:pPr>
        <w:pStyle w:val="FirstParagraph"/>
      </w:pPr>
      <w:r>
        <w:rPr>
          <w:bCs/>
          <w:b/>
        </w:rPr>
        <w:t xml:space="preserve">Filed via Stripe Atlas, April 20, 2026.</w:t>
      </w:r>
      <w:r>
        <w:t xml:space="preserve"> </w:t>
      </w:r>
      <w:r>
        <w:t xml:space="preserve">Reference file for all company-level legal/admin details. Personal identifying information (SSN, DOB, home address) is intentionally NOT stored here — see</w:t>
      </w:r>
      <w:r>
        <w:t xml:space="preserve"> </w:t>
      </w:r>
      <w:r>
        <w:rPr>
          <w:rStyle w:val="VerbatimChar"/>
        </w:rPr>
        <w:t xml:space="preserve">private/.founder-private.md</w:t>
      </w:r>
      <w:r>
        <w:t xml:space="preserve"> </w:t>
      </w:r>
      <w:r>
        <w:t xml:space="preserve">(gitignored) for those.</w:t>
      </w:r>
    </w:p>
    <w:p>
      <w:r>
        <w:pict>
          <v:rect style="width:0;height:1.5pt" o:hralign="center" o:hrstd="t" o:hr="t"/>
        </w:pict>
      </w:r>
    </w:p>
    <w:bookmarkStart w:id="20" w:name="entity"/>
    <w:p>
      <w:pPr>
        <w:pStyle w:val="Heading2"/>
      </w:pPr>
      <w:r>
        <w:t xml:space="preserve">Entity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Modulor,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C 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of incorporation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20, 2026 (Delaware Certificate of Incorporation filed via Atlas same day; confirmed in Atlas dashboard Apr 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(pending IRS — expected Apr 24–27 per Atlas 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83(b) (Mitchell founder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mailing via USPS Certified; postmark by May 6</w:t>
            </w:r>
          </w:p>
        </w:tc>
      </w:tr>
    </w:tbl>
    <w:bookmarkEnd w:id="20"/>
    <w:bookmarkStart w:id="21" w:name="business-contact"/>
    <w:p>
      <w:pPr>
        <w:pStyle w:val="Heading2"/>
      </w:pPr>
      <w:r>
        <w:t xml:space="preserve">Business Contact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https://modulor.bio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mitchell.lisa@modulor.bio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(609) 760-1238</w:t>
            </w:r>
          </w:p>
        </w:tc>
      </w:tr>
    </w:tbl>
    <w:bookmarkEnd w:id="21"/>
    <w:bookmarkStart w:id="22" w:name="business-address-stable-virtual-address"/>
    <w:p>
      <w:pPr>
        <w:pStyle w:val="Heading2"/>
      </w:pPr>
      <w:r>
        <w:t xml:space="preserve">Business Address (Stable virtual address)</w:t>
      </w:r>
    </w:p>
    <w:p>
      <w:pPr>
        <w:pStyle w:val="SourceCode"/>
      </w:pPr>
      <w:r>
        <w:rPr>
          <w:rStyle w:val="VerbatimChar"/>
        </w:rPr>
        <w:t xml:space="preserve">Modulor, Inc.</w:t>
      </w:r>
      <w:r>
        <w:br/>
      </w:r>
      <w:r>
        <w:rPr>
          <w:rStyle w:val="VerbatimChar"/>
        </w:rPr>
        <w:t xml:space="preserve">1111B S Governors Ave STE 27384</w:t>
      </w:r>
      <w:r>
        <w:br/>
      </w:r>
      <w:r>
        <w:rPr>
          <w:rStyle w:val="VerbatimChar"/>
        </w:rPr>
        <w:t xml:space="preserve">Dover, DE 19904</w:t>
      </w:r>
      <w:r>
        <w:br/>
      </w:r>
      <w:r>
        <w:rPr>
          <w:rStyle w:val="VerbatimChar"/>
        </w:rPr>
        <w:t xml:space="preserve">United States</w:t>
      </w:r>
    </w:p>
    <w:p>
      <w:pPr>
        <w:pStyle w:val="FirstParagraph"/>
      </w:pPr>
      <w:r>
        <w:t xml:space="preserve">Use this on every public-facing document: bank account, pitch deck footer, contracts, invoices, vendor W-9s, IRS filings, state filings.</w:t>
      </w:r>
    </w:p>
    <w:bookmarkEnd w:id="22"/>
    <w:bookmarkStart w:id="23" w:name="Xf4f80c8713e3a324dabf48ca008179895e1addd"/>
    <w:p>
      <w:pPr>
        <w:pStyle w:val="Heading2"/>
      </w:pPr>
      <w:r>
        <w:t xml:space="preserve">Company Description (for Stripe, investors, legal)</w:t>
      </w:r>
    </w:p>
    <w:p>
      <w:pPr>
        <w:pStyle w:val="BlockText"/>
      </w:pPr>
      <w:r>
        <w:t xml:space="preserve">Modulor designs movement-assessment hardware and machine-learning analytics software for professional sports teams, collegiate athletic programs, and military special operations training units to measure performance, training load, and readiness. The company sells sensor-equipped platforms to teams and licenses de-identified movement data to research and insurance partners.</w:t>
      </w:r>
    </w:p>
    <w:bookmarkEnd w:id="23"/>
    <w:bookmarkStart w:id="27" w:name="capitalization"/>
    <w:p>
      <w:pPr>
        <w:pStyle w:val="Heading2"/>
      </w:pPr>
      <w:r>
        <w:t xml:space="preserve">Capitalization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market value at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 total (industry standard)</w:t>
            </w:r>
          </w:p>
        </w:tc>
      </w:tr>
    </w:tbl>
    <w:bookmarkStart w:id="24" w:name="allocation-at-formation"/>
    <w:p>
      <w:pPr>
        <w:pStyle w:val="Heading3"/>
      </w:pPr>
      <w:r>
        <w:t xml:space="preserve">Allocation at 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Mitchell Lisa (founder)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pool (unissued)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issued + reserved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24"/>
    <w:bookmarkStart w:id="25" w:name="planned-near-term-grants-not-yet-issued"/>
    <w:p>
      <w:pPr>
        <w:pStyle w:val="Heading3"/>
      </w:pPr>
      <w:r>
        <w:t xml:space="preserve">Planned near-term grants (not yet issued)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Matthew</w:t>
            </w:r>
            <w:r>
              <w:t xml:space="preserve"> </w:t>
            </w:r>
            <w:r>
              <w:t xml:space="preserve">“</w:t>
            </w:r>
            <w:r>
              <w:t xml:space="preserve">Luke</w:t>
            </w:r>
            <w:r>
              <w:t xml:space="preserve">”</w:t>
            </w:r>
            <w:r>
              <w:t xml:space="preserve"> </w:t>
            </w:r>
            <w:r>
              <w:t xml:space="preserve">Lisa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common (RSPA)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Mitchell’s 88% → Mitchell becomes 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Andrew Lisa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common (RSPA)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Mitchell’s 83% → Mitchell becomes 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 H. Evans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 options (FAST Platinum)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12% pool</w:t>
            </w:r>
          </w:p>
        </w:tc>
      </w:tr>
    </w:tbl>
    <w:bookmarkEnd w:id="25"/>
    <w:bookmarkStart w:id="26" w:name="X73d8474eb92f225203fba297e0b33e92feb7b77"/>
    <w:p>
      <w:pPr>
        <w:pStyle w:val="Heading3"/>
      </w:pPr>
      <w:r>
        <w:t xml:space="preserve">Fully-diluted cap table (post-planned grants)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Mitchell Lisa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Matthew</w:t>
            </w:r>
            <w:r>
              <w:t xml:space="preserve"> </w:t>
            </w:r>
            <w:r>
              <w:t xml:space="preserve">“</w:t>
            </w:r>
            <w:r>
              <w:t xml:space="preserve">Luke</w:t>
            </w:r>
            <w:r>
              <w:t xml:space="preserve">”</w:t>
            </w:r>
            <w:r>
              <w:t xml:space="preserve"> </w:t>
            </w:r>
            <w:r>
              <w:t xml:space="preserve">Lisa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Andrew Lisa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 H. Evans (options)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pool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26"/>
    <w:bookmarkEnd w:id="27"/>
    <w:bookmarkStart w:id="28" w:name="vesting-terms-all-founder-common-stock"/>
    <w:p>
      <w:pPr>
        <w:pStyle w:val="Heading2"/>
      </w:pPr>
      <w:r>
        <w:t xml:space="preserve">Vesting Terms (all founder common stock)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(25% at month 12, then monthly)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incorporation (April 20,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trigger (acquisition + involuntary termination within 12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purchase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property (Atlas default)</w:t>
            </w:r>
          </w:p>
        </w:tc>
      </w:tr>
    </w:tbl>
    <w:bookmarkEnd w:id="28"/>
    <w:bookmarkStart w:id="29" w:name="officer-director-roles-at-formation"/>
    <w:p>
      <w:pPr>
        <w:pStyle w:val="Heading2"/>
      </w:pPr>
      <w:r>
        <w:t xml:space="preserve">Officer &amp; Director Roles (at formation)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Mitchell Lisa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Mitchell Lisa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(sole)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Mitchell Lisa</w:t>
            </w:r>
          </w:p>
        </w:tc>
      </w:tr>
    </w:tbl>
    <w:p>
      <w:pPr>
        <w:pStyle w:val="BodyText"/>
      </w:pPr>
      <w:r>
        <w:rPr>
          <w:iCs/>
          <w:i/>
        </w:rPr>
        <w:t xml:space="preserve">Add Luke as second Director after his RSPA is executed.</w:t>
      </w:r>
    </w:p>
    <w:bookmarkEnd w:id="29"/>
    <w:bookmarkStart w:id="30" w:name="b-election"/>
    <w:p>
      <w:pPr>
        <w:pStyle w:val="Heading2"/>
      </w:pPr>
      <w:r>
        <w:t xml:space="preserve">83(b) Election</w:t>
      </w:r>
    </w:p>
    <w:p>
      <w:pPr>
        <w:pStyle w:val="FirstParagraph"/>
      </w:pPr>
      <w:r>
        <w:t xml:space="preserve">Filed by Stripe Atlas via certified mail within 30 days of formation. Critical — do not miss this window. Keep the postal receipt with company records.</w:t>
      </w:r>
    </w:p>
    <w:bookmarkEnd w:id="30"/>
    <w:bookmarkStart w:id="31" w:name="X50d4fe8210ec98cdab0e4620a2f8ed8c511ab54"/>
    <w:p>
      <w:pPr>
        <w:pStyle w:val="Heading2"/>
      </w:pPr>
      <w:r>
        <w:t xml:space="preserve">Intellectual Property Contributed at Formation</w:t>
      </w:r>
    </w:p>
    <w:p>
      <w:pPr>
        <w:pStyle w:val="FirstParagraph"/>
      </w:pPr>
      <w:r>
        <w:t xml:space="preserve">Contributed by founder as consideration for founder common stock: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VITR-001</w:t>
      </w:r>
      <w:r>
        <w:t xml:space="preserve"> </w:t>
      </w:r>
      <w:r>
        <w:t xml:space="preserve">provisional patent (filed prior to formation)</w:t>
      </w:r>
    </w:p>
    <w:p>
      <w:pPr>
        <w:numPr>
          <w:ilvl w:val="0"/>
          <w:numId w:val="1001"/>
        </w:numPr>
        <w:pStyle w:val="Compact"/>
      </w:pPr>
      <w:r>
        <w:t xml:space="preserve">Product specification documents (</w:t>
      </w:r>
      <w:r>
        <w:rPr>
          <w:rStyle w:val="VerbatimChar"/>
        </w:rPr>
        <w:t xml:space="preserve">docs/01-product-definition.md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docs/20-integration-roadmap.md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Drawings and technical specs (</w:t>
      </w:r>
      <w:r>
        <w:rPr>
          <w:rStyle w:val="VerbatimChar"/>
        </w:rPr>
        <w:t xml:space="preserve">VITR-001-PROV-Drawings.pdf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VITR-001-PROV-Specification.pdf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Pitch materials, brand assets, website code</w:t>
      </w:r>
    </w:p>
    <w:p>
      <w:pPr>
        <w:pStyle w:val="FirstParagraph"/>
      </w:pPr>
      <w:r>
        <w:t xml:space="preserve">Atlas’s response on IP-as-consideration (retain for records):</w:t>
      </w:r>
    </w:p>
    <w:p>
      <w:pPr>
        <w:pStyle w:val="BlockText"/>
      </w:pPr>
      <w:r>
        <w:t xml:space="preserve">“</w:t>
      </w:r>
      <w:r>
        <w:t xml:space="preserve">Atlas automatically enables founders to pay for shares using the intellectual property (IP) they have developed. However, if you want to pay cash for your founder shares and execute a separate IP assignment agreement, you may need to work with a legal professional to create that specific arrangement. Atlas generally expects IP related to the company to be contributed at the time of incorporation.</w:t>
      </w:r>
      <w:r>
        <w:t xml:space="preserve">”</w:t>
      </w:r>
      <w:r>
        <w:t xml:space="preserve"> </w:t>
      </w:r>
      <w:r>
        <w:t xml:space="preserve">— Stripe Atlas, April 20, 2026</w:t>
      </w:r>
    </w:p>
    <w:bookmarkEnd w:id="31"/>
    <w:bookmarkStart w:id="32" w:name="X1f7476e13899991a62d6b53958cb00da3fa7a4d"/>
    <w:p>
      <w:pPr>
        <w:pStyle w:val="Heading2"/>
      </w:pPr>
      <w:r>
        <w:t xml:space="preserve">Documents to Download from Atlas After Filing</w:t>
      </w:r>
    </w:p>
    <w:p>
      <w:pPr>
        <w:pStyle w:val="FirstParagraph"/>
      </w:pPr>
      <w:r>
        <w:t xml:space="preserve">Store these in</w:t>
      </w:r>
      <w:r>
        <w:t xml:space="preserve"> </w:t>
      </w:r>
      <w:r>
        <w:rPr>
          <w:rStyle w:val="VerbatimChar"/>
        </w:rPr>
        <w:t xml:space="preserve">private/formation-docs/</w:t>
      </w:r>
      <w:r>
        <w:t xml:space="preserve"> </w:t>
      </w:r>
      <w:r>
        <w:t xml:space="preserve">(gitignored):</w:t>
      </w:r>
    </w:p>
    <w:p>
      <w:pPr>
        <w:numPr>
          <w:ilvl w:val="0"/>
          <w:numId w:val="1002"/>
        </w:numPr>
        <w:pStyle w:val="Compact"/>
      </w:pPr>
      <w:r>
        <w:t xml:space="preserve">Certificate of Incorporation (Delaware)</w:t>
      </w:r>
    </w:p>
    <w:p>
      <w:pPr>
        <w:numPr>
          <w:ilvl w:val="0"/>
          <w:numId w:val="1002"/>
        </w:numPr>
        <w:pStyle w:val="Compact"/>
      </w:pPr>
      <w:r>
        <w:t xml:space="preserve">Bylaws</w:t>
      </w:r>
    </w:p>
    <w:p>
      <w:pPr>
        <w:numPr>
          <w:ilvl w:val="0"/>
          <w:numId w:val="1002"/>
        </w:numPr>
        <w:pStyle w:val="Compact"/>
      </w:pPr>
      <w:r>
        <w:t xml:space="preserve">Board Consent (Initial)</w:t>
      </w:r>
    </w:p>
    <w:p>
      <w:pPr>
        <w:numPr>
          <w:ilvl w:val="0"/>
          <w:numId w:val="1002"/>
        </w:numPr>
        <w:pStyle w:val="Compact"/>
      </w:pPr>
      <w:r>
        <w:t xml:space="preserve">Stockholder Consent</w:t>
      </w:r>
    </w:p>
    <w:p>
      <w:pPr>
        <w:numPr>
          <w:ilvl w:val="0"/>
          <w:numId w:val="1002"/>
        </w:numPr>
        <w:pStyle w:val="Compact"/>
      </w:pPr>
      <w:r>
        <w:t xml:space="preserve">Restricted Stock Purchase Agreement (Mitchell)</w:t>
      </w:r>
    </w:p>
    <w:p>
      <w:pPr>
        <w:numPr>
          <w:ilvl w:val="0"/>
          <w:numId w:val="1002"/>
        </w:numPr>
        <w:pStyle w:val="Compact"/>
      </w:pPr>
      <w:r>
        <w:t xml:space="preserve">IP Assignment (embedded in RSPA)</w:t>
      </w:r>
    </w:p>
    <w:p>
      <w:pPr>
        <w:numPr>
          <w:ilvl w:val="0"/>
          <w:numId w:val="1002"/>
        </w:numPr>
        <w:pStyle w:val="Compact"/>
      </w:pPr>
      <w:r>
        <w:t xml:space="preserve">83(b) Election Form (stamped copy after mailing)</w:t>
      </w:r>
    </w:p>
    <w:p>
      <w:pPr>
        <w:numPr>
          <w:ilvl w:val="0"/>
          <w:numId w:val="1002"/>
        </w:numPr>
        <w:pStyle w:val="Compact"/>
      </w:pPr>
      <w:r>
        <w:t xml:space="preserve">EIN Confirmation Letter (SS-4)</w:t>
      </w:r>
    </w:p>
    <w:bookmarkEnd w:id="32"/>
    <w:bookmarkStart w:id="33" w:name="near-term-legal-checklist"/>
    <w:p>
      <w:pPr>
        <w:pStyle w:val="Heading2"/>
      </w:pPr>
      <w:r>
        <w:t xml:space="preserve">Near-Term Legal Checklist</w:t>
      </w:r>
    </w:p>
    <w:p>
      <w:pPr>
        <w:numPr>
          <w:ilvl w:val="0"/>
          <w:numId w:val="1003"/>
        </w:numPr>
        <w:pStyle w:val="Compact"/>
      </w:pPr>
      <w:r>
        <w:t xml:space="preserve">☐ Download all formation docs from Atlas → save to</w:t>
      </w:r>
      <w:r>
        <w:t xml:space="preserve"> </w:t>
      </w:r>
      <w:r>
        <w:rPr>
          <w:rStyle w:val="VerbatimChar"/>
        </w:rPr>
        <w:t xml:space="preserve">private/formation-docs/</w:t>
      </w:r>
      <w:r>
        <w:t xml:space="preserve"> </w:t>
      </w:r>
      <w:r>
        <w:t xml:space="preserve">(local only)</w:t>
      </w:r>
    </w:p>
    <w:p>
      <w:pPr>
        <w:numPr>
          <w:ilvl w:val="0"/>
          <w:numId w:val="1003"/>
        </w:numPr>
        <w:pStyle w:val="Compact"/>
      </w:pPr>
      <w:r>
        <w:t xml:space="preserve">☐ Open business bank account (Mercury or Brex — Atlas integrates with Mercury)</w:t>
      </w:r>
    </w:p>
    <w:p>
      <w:pPr>
        <w:numPr>
          <w:ilvl w:val="0"/>
          <w:numId w:val="1003"/>
        </w:numPr>
        <w:pStyle w:val="Compact"/>
      </w:pPr>
      <w:r>
        <w:t xml:space="preserve">☐ Set up QuickBooks / accounting</w:t>
      </w:r>
    </w:p>
    <w:p>
      <w:pPr>
        <w:numPr>
          <w:ilvl w:val="0"/>
          <w:numId w:val="1003"/>
        </w:numPr>
        <w:pStyle w:val="Compact"/>
      </w:pPr>
      <w:r>
        <w:t xml:space="preserve">☐ Luke countersigns role memo → issue 500,000 RSPA shares within 30 days</w:t>
      </w:r>
    </w:p>
    <w:p>
      <w:pPr>
        <w:numPr>
          <w:ilvl w:val="0"/>
          <w:numId w:val="1003"/>
        </w:numPr>
        <w:pStyle w:val="Compact"/>
      </w:pPr>
      <w:r>
        <w:t xml:space="preserve">☐ Luke files his 83(b) within 30 days of grant</w:t>
      </w:r>
    </w:p>
    <w:p>
      <w:pPr>
        <w:numPr>
          <w:ilvl w:val="0"/>
          <w:numId w:val="1003"/>
        </w:numPr>
        <w:pStyle w:val="Compact"/>
      </w:pPr>
      <w:r>
        <w:t xml:space="preserve">☐ Andrew countersigns role memo → issue 500,000 RSPA shares within 30 days</w:t>
      </w:r>
    </w:p>
    <w:p>
      <w:pPr>
        <w:numPr>
          <w:ilvl w:val="0"/>
          <w:numId w:val="1003"/>
        </w:numPr>
        <w:pStyle w:val="Compact"/>
      </w:pPr>
      <w:r>
        <w:t xml:space="preserve">☐ Andrew files his 83(b) within 30 days of grant</w:t>
      </w:r>
    </w:p>
    <w:p>
      <w:pPr>
        <w:numPr>
          <w:ilvl w:val="0"/>
          <w:numId w:val="1003"/>
        </w:numPr>
        <w:pStyle w:val="Compact"/>
      </w:pPr>
      <w:r>
        <w:t xml:space="preserve">☐ Add Luke (and consider Andrew) as additional Director(s) via unanimous written consent</w:t>
      </w:r>
    </w:p>
    <w:p>
      <w:pPr>
        <w:numPr>
          <w:ilvl w:val="0"/>
          <w:numId w:val="1003"/>
        </w:numPr>
        <w:pStyle w:val="Compact"/>
      </w:pPr>
      <w:r>
        <w:t xml:space="preserve">☐ Send Adam FAST Platinum advisor agreement (1.0% options from pool, 2-yr vest, no cliff)</w:t>
      </w:r>
    </w:p>
    <w:p>
      <w:pPr>
        <w:numPr>
          <w:ilvl w:val="0"/>
          <w:numId w:val="1003"/>
        </w:numPr>
        <w:pStyle w:val="Compact"/>
      </w:pPr>
      <w:r>
        <w:t xml:space="preserve">☐ File Delaware franchise tax (annual, due March 1 — first filing March 2027)</w:t>
      </w:r>
    </w:p>
    <w:p>
      <w:pPr>
        <w:numPr>
          <w:ilvl w:val="0"/>
          <w:numId w:val="1003"/>
        </w:numPr>
        <w:pStyle w:val="Compact"/>
      </w:pPr>
      <w:r>
        <w:t xml:space="preserve">☐ Foreign qualification in NJ if operating from there</w:t>
      </w:r>
    </w:p>
    <w:p>
      <w:pPr>
        <w:numPr>
          <w:ilvl w:val="0"/>
          <w:numId w:val="1003"/>
        </w:numPr>
        <w:pStyle w:val="Compact"/>
      </w:pPr>
      <w:r>
        <w:t xml:space="preserve">☐ Trademark search + filing on</w:t>
      </w:r>
      <w:r>
        <w:t xml:space="preserve"> </w:t>
      </w:r>
      <w:r>
        <w:t xml:space="preserve">“</w:t>
      </w:r>
      <w:r>
        <w:t xml:space="preserve">Modulor</w:t>
      </w:r>
      <w:r>
        <w:t xml:space="preserve">”</w:t>
      </w:r>
      <w:r>
        <w:t xml:space="preserve"> </w:t>
      </w:r>
      <w:r>
        <w:t xml:space="preserve">(USPTO Class 9, 10, 41)</w:t>
      </w:r>
    </w:p>
    <w:p>
      <w:pPr>
        <w:numPr>
          <w:ilvl w:val="0"/>
          <w:numId w:val="1003"/>
        </w:numPr>
        <w:pStyle w:val="Compact"/>
      </w:pPr>
      <w:r>
        <w:t xml:space="preserve">☐ Convert VITR-001 provisional → non-provisional within 12 months of provisional filing date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2026-04-23T19:53:28Z</dcterms:created>
  <dcterms:modified xsi:type="dcterms:W3CDTF">2026-04-23T19:53:28Z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