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ulor-inc.-finances"/>
    <w:p>
      <w:pPr>
        <w:pStyle w:val="Heading1"/>
      </w:pPr>
      <w:r>
        <w:t xml:space="preserve">Modulor, Inc. — Finances</w:t>
      </w:r>
    </w:p>
    <w:p>
      <w:pPr>
        <w:pStyle w:val="FirstParagraph"/>
      </w:pPr>
      <w:r>
        <w:t xml:space="preserve">Running ledger of company expenses, recurring costs, and the $3M seed budget. Update as bills come in.</w:t>
      </w:r>
    </w:p>
    <w:p>
      <w:r>
        <w:pict>
          <v:rect style="width:0;height:1.5pt" o:hralign="center" o:hrstd="t" o:hr="t"/>
        </w:pict>
      </w:r>
    </w:p>
    <w:bookmarkStart w:id="20" w:name="one-time-formation-costs"/>
    <w:p>
      <w:pPr>
        <w:pStyle w:val="Heading2"/>
      </w:pPr>
      <w:r>
        <w:t xml:space="preserve">One-Time Formation Costs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Atlas 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Incl. incorporation, state filing, EIN, $2,500 Stripe credits, $50K partner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virtual address (Grow, annual)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Dover, DE — covers year 1; renews Apr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Modulor.bio domain (Vercel)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seat (Mitchell)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$7–14/mo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or $84–168/yr annually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USPTO trademark filing (</w:t>
            </w:r>
            <w:r>
              <w:t xml:space="preserve">“</w:t>
            </w:r>
            <w:r>
              <w:t xml:space="preserve">Modulor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$350/class × 2–3 classes = $700–1,050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Self-file via TEAS Plus; +$1K–1.5K if using attorney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VITR-001 non-provisional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12 months of provisional filing date — hard deadline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insurance (first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$1.5K–3K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taking investor money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Formation total to date: $1,088.00</w:t>
      </w:r>
    </w:p>
    <w:bookmarkEnd w:id="20"/>
    <w:bookmarkStart w:id="21" w:name="annual-recurring-costs"/>
    <w:p>
      <w:pPr>
        <w:pStyle w:val="Heading2"/>
      </w:pPr>
      <w:r>
        <w:t xml:space="preserve">Annual Recurring Costs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virtual address (Grow, 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Paid Apr 20, 2026 — next renewal Apr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Delaware franchise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~$400 (minimum)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 — first filing March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Delaware registered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year 1, $100/yr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via Atlas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NJ foreign qualification (if operating there)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 initial + $75/yr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Modulor operates from NJ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$7–14/user/mo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seat (you, Luke, Adam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 business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$15–25/mo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(modulor.bio)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auto-renews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QuickBooks Online (once revenue starts)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 until first invoice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Year-1 baseline (you only, minimal stack): ~$1,250</w:t>
      </w:r>
      <w:r>
        <w:t xml:space="preserve"> </w:t>
      </w:r>
      <w:r>
        <w:rPr>
          <w:bCs/>
          <w:b/>
        </w:rPr>
        <w:t xml:space="preserve">Year-2+ baseline (with Luke + Adam on Workspace): ~$1,700</w:t>
      </w:r>
    </w:p>
    <w:bookmarkEnd w:id="21"/>
    <w:bookmarkStart w:id="22" w:name="seed-raise-budget-3m-target"/>
    <w:p>
      <w:pPr>
        <w:pStyle w:val="Heading2"/>
      </w:pPr>
      <w:r>
        <w:t xml:space="preserve">Seed Raise Budget ($3M Target)</w:t>
      </w:r>
    </w:p>
    <w:p>
      <w:pPr>
        <w:pStyle w:val="FirstParagraph"/>
      </w:pPr>
      <w:r>
        <w:t xml:space="preserve">From pitch deck, use-of-funds: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/ entity filings / data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Designed to buy ~30 months of runway.</w:t>
      </w:r>
    </w:p>
    <w:bookmarkEnd w:id="22"/>
    <w:bookmarkStart w:id="23" w:name="bank-account-tbd"/>
    <w:p>
      <w:pPr>
        <w:pStyle w:val="Heading2"/>
      </w:pPr>
      <w:r>
        <w:t xml:space="preserve">Bank Account (TBD)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Mercury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Brex</w:t>
      </w:r>
      <w:r>
        <w:t xml:space="preserve"> </w:t>
      </w:r>
      <w:r>
        <w:t xml:space="preserve">after Atlas completes formation:</w:t>
      </w:r>
      <w:r>
        <w:t xml:space="preserve"> </w:t>
      </w:r>
      <w:r>
        <w:t xml:space="preserve">- Both free, no minimum, both integrate with Atlas</w:t>
      </w:r>
      <w:r>
        <w:t xml:space="preserve"> </w:t>
      </w:r>
      <w:r>
        <w:t xml:space="preserve">- Mercury: better UI, simpler</w:t>
      </w:r>
      <w:r>
        <w:t xml:space="preserve"> </w:t>
      </w:r>
      <w:r>
        <w:t xml:space="preserve">- Brex: better expense cards, corporate credit line</w:t>
      </w:r>
    </w:p>
    <w:p>
      <w:pPr>
        <w:pStyle w:val="BodyText"/>
      </w:pPr>
      <w:r>
        <w:t xml:space="preserve">Move all founder/pre-formation expenses to the business account once open. Keep personal card separate.</w:t>
      </w:r>
    </w:p>
    <w:bookmarkEnd w:id="23"/>
    <w:bookmarkStart w:id="24" w:name="tax-notes"/>
    <w:p>
      <w:pPr>
        <w:pStyle w:val="Heading2"/>
      </w:pPr>
      <w:r>
        <w:t xml:space="preserve">Tax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C-corp:</w:t>
      </w:r>
      <w:r>
        <w:t xml:space="preserve"> </w:t>
      </w:r>
      <w:r>
        <w:t xml:space="preserve">Files federal Form 1120 annually (due April 15, extendable to October 15)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Delaware franchise tax:</w:t>
      </w:r>
      <w:r>
        <w:t xml:space="preserve"> </w:t>
      </w:r>
      <w:r>
        <w:t xml:space="preserve">Annual, due March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QSBS eligibility:</w:t>
      </w:r>
      <w:r>
        <w:t xml:space="preserve"> </w:t>
      </w:r>
      <w:r>
        <w:t xml:space="preserve">Preserve by holding founder shares 5+ years — huge tax benefit at exit (up to $10M per founder excluded from federal cap gains)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83(b) election:</w:t>
      </w:r>
      <w:r>
        <w:t xml:space="preserve"> </w:t>
      </w:r>
      <w:r>
        <w:t xml:space="preserve">Atlas files within 30 days of formation — confirm postal receipt, keep with records</w:t>
      </w:r>
    </w:p>
    <w:bookmarkEnd w:id="24"/>
    <w:bookmarkStart w:id="25" w:name="X3d8b4f81762a30f2ee794421af3e29aec0026e5"/>
    <w:p>
      <w:pPr>
        <w:pStyle w:val="Heading2"/>
      </w:pPr>
      <w:r>
        <w:t xml:space="preserve">Expense Policy (draft — revisit at first board meeting)</w:t>
      </w:r>
    </w:p>
    <w:p>
      <w:pPr>
        <w:pStyle w:val="FirstParagraph"/>
      </w:pPr>
      <w:r>
        <w:t xml:space="preserve">Until we have a board-approved policy:</w:t>
      </w:r>
      <w:r>
        <w:t xml:space="preserve"> </w:t>
      </w:r>
      <w:r>
        <w:t xml:space="preserve">- All company expenses go on Modulor business card (once opened)</w:t>
      </w:r>
      <w:r>
        <w:t xml:space="preserve"> </w:t>
      </w:r>
      <w:r>
        <w:t xml:space="preserve">- Reimburse from founder personal cards using Expensify or similar once account is live</w:t>
      </w:r>
      <w:r>
        <w:t xml:space="preserve"> </w:t>
      </w:r>
      <w:r>
        <w:t xml:space="preserve">- Any single expense over $5K requires written founder approval</w:t>
      </w:r>
      <w:r>
        <w:t xml:space="preserve"> </w:t>
      </w:r>
      <w:r>
        <w:t xml:space="preserve">- Keep receipts for everything for IRS audit trail (7-year retention)</w:t>
      </w:r>
    </w:p>
    <w:bookmarkEnd w:id="25"/>
    <w:bookmarkStart w:id="26" w:name="monthly-review-checklist"/>
    <w:p>
      <w:pPr>
        <w:pStyle w:val="Heading2"/>
      </w:pPr>
      <w:r>
        <w:t xml:space="preserve">Monthly Review Checklist</w:t>
      </w:r>
    </w:p>
    <w:p>
      <w:pPr>
        <w:pStyle w:val="FirstParagraph"/>
      </w:pPr>
      <w:r>
        <w:t xml:space="preserve">On the 1st of each month:</w:t>
      </w:r>
      <w:r>
        <w:t xml:space="preserve"> </w:t>
      </w:r>
      <w:r>
        <w:t xml:space="preserve">- [ ] Review bank transactions vs. this ledger</w:t>
      </w:r>
      <w:r>
        <w:t xml:space="preserve"> </w:t>
      </w:r>
      <w:r>
        <w:t xml:space="preserve">- [ ] Categorize in QuickBooks (once set up)</w:t>
      </w:r>
      <w:r>
        <w:t xml:space="preserve"> </w:t>
      </w:r>
      <w:r>
        <w:t xml:space="preserve">- [ ] Check DE franchise tax calendar</w:t>
      </w:r>
      <w:r>
        <w:t xml:space="preserve"> </w:t>
      </w:r>
      <w:r>
        <w:t xml:space="preserve">- [ ] Reconcile founder reimbursements</w:t>
      </w:r>
      <w:r>
        <w:t xml:space="preserve"> </w:t>
      </w:r>
      <w:r>
        <w:t xml:space="preserve">- [ ] Update runway projection</w:t>
      </w:r>
    </w:p>
    <w:bookmarkEnd w:id="26"/>
    <w:bookmarkStart w:id="27" w:name="annual-checklist"/>
    <w:p>
      <w:pPr>
        <w:pStyle w:val="Heading2"/>
      </w:pPr>
      <w:r>
        <w:t xml:space="preserve">Annual Checklist</w:t>
      </w:r>
    </w:p>
    <w:p>
      <w:pPr>
        <w:numPr>
          <w:ilvl w:val="0"/>
          <w:numId w:val="1002"/>
        </w:numPr>
        <w:pStyle w:val="Compact"/>
      </w:pPr>
      <w:r>
        <w:t xml:space="preserve">☐ March 1: Delaware franchise tax</w:t>
      </w:r>
    </w:p>
    <w:p>
      <w:pPr>
        <w:numPr>
          <w:ilvl w:val="0"/>
          <w:numId w:val="1002"/>
        </w:numPr>
        <w:pStyle w:val="Compact"/>
      </w:pPr>
      <w:r>
        <w:t xml:space="preserve">☐ April 15: Federal Form 1120</w:t>
      </w:r>
    </w:p>
    <w:p>
      <w:pPr>
        <w:numPr>
          <w:ilvl w:val="0"/>
          <w:numId w:val="1002"/>
        </w:numPr>
        <w:pStyle w:val="Compact"/>
      </w:pPr>
      <w:r>
        <w:t xml:space="preserve">☐ Anniversary of provisional patent: decide on non-provisional (hard deadline)</w:t>
      </w:r>
    </w:p>
    <w:p>
      <w:pPr>
        <w:numPr>
          <w:ilvl w:val="0"/>
          <w:numId w:val="1002"/>
        </w:numPr>
        <w:pStyle w:val="Compact"/>
      </w:pPr>
      <w:r>
        <w:t xml:space="preserve">☐ Q4: Board meeting to approve next-year budget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