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investor-qa-packet-seed"/>
    <w:p>
      <w:pPr>
        <w:pStyle w:val="Heading1"/>
      </w:pPr>
      <w:r>
        <w:t xml:space="preserve">Investor Q&amp;A Packet — Seed</w:t>
      </w:r>
    </w:p>
    <w:p>
      <w:pPr>
        <w:pStyle w:val="FirstParagraph"/>
      </w:pPr>
      <w:r>
        <w:t xml:space="preserve">Practice-ready answers to the diligence questions Richard Xie (and future investors) will ask. One page per topic. Tight, honest, no hedging.</w:t>
      </w:r>
    </w:p>
    <w:p>
      <w:pPr>
        <w:pStyle w:val="BodyText"/>
      </w:pPr>
      <w:r>
        <w:rPr>
          <w:bCs/>
          <w:b/>
        </w:rPr>
        <w:t xml:space="preserve">Rule:</w:t>
      </w:r>
      <w:r>
        <w:t xml:space="preserve"> </w:t>
      </w:r>
      <w:r>
        <w:t xml:space="preserve">every answer ends with a forward-looking next step, not a defensive justification.</w:t>
      </w:r>
    </w:p>
    <w:p>
      <w:r>
        <w:pict>
          <v:rect style="width:0;height:1.5pt" o:hralign="center" o:hrstd="t" o:hr="t"/>
        </w:pict>
      </w:r>
    </w:p>
    <w:bookmarkStart w:id="20" w:name="X845b02eff1940c01cb0b6f0b75e188b61530a28"/>
    <w:p>
      <w:pPr>
        <w:pStyle w:val="Heading2"/>
      </w:pPr>
      <w:r>
        <w:t xml:space="preserve">1.</w:t>
      </w:r>
      <w:r>
        <w:t xml:space="preserve"> </w:t>
      </w:r>
      <w:r>
        <w:t xml:space="preserve">“</w:t>
      </w:r>
      <w:r>
        <w:t xml:space="preserve">Family biz?</w:t>
      </w:r>
      <w:r>
        <w:t xml:space="preserve">”</w:t>
      </w:r>
      <w:r>
        <w:t xml:space="preserve"> </w:t>
      </w:r>
      <w:r>
        <w:t xml:space="preserve">— governance &amp; cap-table concentration</w:t>
      </w:r>
    </w:p>
    <w:p>
      <w:pPr>
        <w:pStyle w:val="FirstParagraph"/>
      </w:pPr>
      <w:r>
        <w:rPr>
          <w:bCs/>
          <w:b/>
        </w:rPr>
        <w:t xml:space="preserve">3-beat, practiced out loud in under 60 seconds: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Each seat is a merit hire who happens to be family.</w:t>
      </w:r>
    </w:p>
    <w:p>
      <w:pPr>
        <w:numPr>
          <w:ilvl w:val="1"/>
          <w:numId w:val="1002"/>
        </w:numPr>
        <w:pStyle w:val="Compact"/>
      </w:pPr>
      <w:r>
        <w:t xml:space="preserve">Andrew Lisa (brother, CFO track): UBS Executive Director, 9 years real estate finance. Wharton Economics ’16. He’d have gotten the finance seat at any Delaware C-corp I founded. The fact that he’s my brother is a trust bonus, not the qualification.</w:t>
      </w:r>
    </w:p>
    <w:p>
      <w:pPr>
        <w:numPr>
          <w:ilvl w:val="1"/>
          <w:numId w:val="1002"/>
        </w:numPr>
        <w:pStyle w:val="Compact"/>
      </w:pPr>
      <w:r>
        <w:t xml:space="preserve">Matthew</w:t>
      </w:r>
      <w:r>
        <w:t xml:space="preserve"> </w:t>
      </w:r>
      <w:r>
        <w:t xml:space="preserve">“</w:t>
      </w:r>
      <w:r>
        <w:t xml:space="preserve">Luke</w:t>
      </w:r>
      <w:r>
        <w:t xml:space="preserve">”</w:t>
      </w:r>
      <w:r>
        <w:t xml:space="preserve"> </w:t>
      </w:r>
      <w:r>
        <w:t xml:space="preserve">Lisa (cousin, CTO track): 18 years USAF. Former Lead Engineer, Warfighter Training Systems. Former Deputy Chief, Pentagon Integrated Warfare Division. He literally built training hardware for the end-user we’re selling to. No outside hire with that profile exists in our network.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Vesting is the fire mechanism.</w:t>
      </w:r>
    </w:p>
    <w:p>
      <w:pPr>
        <w:numPr>
          <w:ilvl w:val="1"/>
          <w:numId w:val="1003"/>
        </w:numPr>
        <w:pStyle w:val="Compact"/>
      </w:pPr>
      <w:r>
        <w:t xml:space="preserve">All three of us are on 4-year vest, 1-year cliff, standard company repurchase on unvested shares. Same terms any outside co-founder would get.</w:t>
      </w:r>
    </w:p>
    <w:p>
      <w:pPr>
        <w:numPr>
          <w:ilvl w:val="1"/>
          <w:numId w:val="1003"/>
        </w:numPr>
        <w:pStyle w:val="Compact"/>
      </w:pPr>
      <w:r>
        <w:t xml:space="preserve">I hold 78% post-grants. I control board and voting through Series A minimum. If the business needs someone to go, the mechanism exists and it cuts family the same as anyone.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Independent governance is already seeded.</w:t>
      </w:r>
    </w:p>
    <w:p>
      <w:pPr>
        <w:numPr>
          <w:ilvl w:val="1"/>
          <w:numId w:val="1004"/>
        </w:numPr>
        <w:pStyle w:val="Compact"/>
      </w:pPr>
      <w:r>
        <w:t xml:space="preserve">Adam H. Evans, PhD — Strategic Advisor. 1.0% FAST Platinum options, 2-year vest. No family relationship. 25 years teaching entrepreneurship (U Kentucky Chair), 8 years CSO at a DoD-serving mil-tech startup. He’s the outside voice in every strategic decision today.</w:t>
      </w:r>
    </w:p>
    <w:p>
      <w:pPr>
        <w:numPr>
          <w:ilvl w:val="1"/>
          <w:numId w:val="1004"/>
        </w:numPr>
        <w:pStyle w:val="Compact"/>
      </w:pPr>
      <w:r>
        <w:t xml:space="preserve">First board seat post-seed goes to the lead investor. That’s the standard and I’m ready for it.</w:t>
      </w:r>
    </w:p>
    <w:p>
      <w:pPr>
        <w:pStyle w:val="FirstParagraph"/>
      </w:pPr>
      <w:r>
        <w:rPr>
          <w:bCs/>
          <w:b/>
        </w:rPr>
        <w:t xml:space="preserve">Next step forward:</w:t>
      </w:r>
      <w:r>
        <w:t xml:space="preserve"> </w:t>
      </w:r>
      <w:r>
        <w:t xml:space="preserve">happy to walk through the vesting docs, RSPAs, and Adam’s advisor agreement as part of diligence. Full cap table in the data room.</w:t>
      </w:r>
    </w:p>
    <w:p>
      <w:r>
        <w:pict>
          <v:rect style="width:0;height:1.5pt" o:hralign="center" o:hrstd="t" o:hr="t"/>
        </w:pict>
      </w:r>
    </w:p>
    <w:bookmarkEnd w:id="20"/>
    <w:bookmarkStart w:id="21" w:name="unit-economics-per-station"/>
    <w:p>
      <w:pPr>
        <w:pStyle w:val="Heading2"/>
      </w:pPr>
      <w:r>
        <w:t xml:space="preserve">2. Unit economics per station</w:t>
      </w:r>
    </w:p>
    <w:p>
      <w:pPr>
        <w:pStyle w:val="FirstParagraph"/>
      </w:pPr>
      <w:r>
        <w:rPr>
          <w:bCs/>
          <w:b/>
        </w:rPr>
        <w:t xml:space="preserve">Model (bottom-up, lease-only):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station / 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lease (amortized)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~$54,000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SaaS subscription (measurement + analytics)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All-in target ARR / station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$60,000</w:t>
            </w:r>
          </w:p>
        </w:tc>
      </w:tr>
    </w:tbl>
    <w:p>
      <w:pPr>
        <w:pStyle w:val="BodyText"/>
      </w:pPr>
      <w:r>
        <w:rPr>
          <w:bCs/>
          <w:b/>
        </w:rPr>
        <w:t xml:space="preserve">Cost of goods (mature scale, post-V1.5):</w:t>
      </w:r>
    </w:p>
    <w:p>
      <w:pPr>
        <w:numPr>
          <w:ilvl w:val="0"/>
          <w:numId w:val="1005"/>
        </w:numPr>
        <w:pStyle w:val="Compact"/>
      </w:pPr>
      <w:r>
        <w:t xml:space="preserve">Hardware BOM + assembly: ~$8K–12K per unit (target post-V1.5 volume)</w:t>
      </w:r>
    </w:p>
    <w:p>
      <w:pPr>
        <w:numPr>
          <w:ilvl w:val="0"/>
          <w:numId w:val="1005"/>
        </w:numPr>
        <w:pStyle w:val="Compact"/>
      </w:pPr>
      <w:r>
        <w:t xml:space="preserve">Install + onboarding: ~$2K per site (one-time)</w:t>
      </w:r>
    </w:p>
    <w:p>
      <w:pPr>
        <w:numPr>
          <w:ilvl w:val="0"/>
          <w:numId w:val="1005"/>
        </w:numPr>
        <w:pStyle w:val="Compact"/>
      </w:pPr>
      <w:r>
        <w:t xml:space="preserve">Annual SaaS serve cost: ~$400/unit (cloud, support, updates)</w:t>
      </w:r>
    </w:p>
    <w:p>
      <w:pPr>
        <w:pStyle w:val="FirstParagraph"/>
      </w:pPr>
      <w:r>
        <w:rPr>
          <w:bCs/>
          <w:b/>
        </w:rPr>
        <w:t xml:space="preserve">Gross margin:</w:t>
      </w:r>
    </w:p>
    <w:p>
      <w:pPr>
        <w:numPr>
          <w:ilvl w:val="0"/>
          <w:numId w:val="1006"/>
        </w:numPr>
        <w:pStyle w:val="Compact"/>
      </w:pPr>
      <w:r>
        <w:t xml:space="preserve">SaaS: ~93%</w:t>
      </w:r>
    </w:p>
    <w:p>
      <w:pPr>
        <w:numPr>
          <w:ilvl w:val="0"/>
          <w:numId w:val="1006"/>
        </w:numPr>
        <w:pStyle w:val="Compact"/>
      </w:pPr>
      <w:r>
        <w:t xml:space="preserve">Hardware lease: ~75% steady-state (after amortization of the $8–12K BOM over a 4-year lease)</w:t>
      </w:r>
    </w:p>
    <w:p>
      <w:pPr>
        <w:numPr>
          <w:ilvl w:val="0"/>
          <w:numId w:val="1006"/>
        </w:numPr>
        <w:pStyle w:val="Compact"/>
      </w:pPr>
      <w:r>
        <w:t xml:space="preserve">Blended:</w:t>
      </w:r>
      <w:r>
        <w:t xml:space="preserve"> </w:t>
      </w:r>
      <w:r>
        <w:rPr>
          <w:bCs/>
          <w:b/>
        </w:rPr>
        <w:t xml:space="preserve">~78% GM at scale</w:t>
      </w:r>
    </w:p>
    <w:p>
      <w:pPr>
        <w:pStyle w:val="FirstParagraph"/>
      </w:pPr>
      <w:r>
        <w:rPr>
          <w:bCs/>
          <w:b/>
        </w:rPr>
        <w:t xml:space="preserve">Revenue ramp from the deck: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Active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$260K (pilot phase)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$650K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$1.3M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$2.6M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 I don’t know yet — and I’ll say it plainly:</w:t>
      </w:r>
      <w:r>
        <w:t xml:space="preserve"> </w:t>
      </w:r>
      <w:r>
        <w:t xml:space="preserve">- Real-world hardware BOM lands after V1 build. Current estimate is engineering-informed but not yet validated by volume quotes.</w:t>
      </w:r>
      <w:r>
        <w:t xml:space="preserve"> </w:t>
      </w:r>
      <w:r>
        <w:t xml:space="preserve">- First pilot pricing may be lower than $60K (concessions to secure data rights). Steady-state target holds; pilot cohort economics are flexible.</w:t>
      </w:r>
    </w:p>
    <w:p>
      <w:pPr>
        <w:pStyle w:val="BodyText"/>
      </w:pPr>
      <w:r>
        <w:rPr>
          <w:bCs/>
          <w:b/>
        </w:rPr>
        <w:t xml:space="preserve">Next step forward:</w:t>
      </w:r>
      <w:r>
        <w:t xml:space="preserve"> </w:t>
      </w:r>
      <w:r>
        <w:t xml:space="preserve">full unit-econ model lives in the data room; happy to walk line by line.</w:t>
      </w:r>
    </w:p>
    <w:p>
      <w:r>
        <w:pict>
          <v:rect style="width:0;height:1.5pt" o:hralign="center" o:hrstd="t" o:hr="t"/>
        </w:pict>
      </w:r>
    </w:p>
    <w:bookmarkEnd w:id="21"/>
    <w:bookmarkStart w:id="22" w:name="X17034b13658ceaface6660b12e1f74501e1ab41"/>
    <w:p>
      <w:pPr>
        <w:pStyle w:val="Heading2"/>
      </w:pPr>
      <w:r>
        <w:t xml:space="preserve">3. First-pilot pathway — pro + collegiate (NOT military)</w:t>
      </w:r>
    </w:p>
    <w:p>
      <w:pPr>
        <w:pStyle w:val="FirstParagraph"/>
      </w:pPr>
      <w:r>
        <w:rPr>
          <w:bCs/>
          <w:b/>
        </w:rPr>
        <w:t xml:space="preserve">Clear ranking: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Collegiate D1</w:t>
      </w:r>
      <w:r>
        <w:t xml:space="preserve"> </w:t>
      </w:r>
      <w:r>
        <w:t xml:space="preserve">— fastest yes, lowest permission overhead. Strength &amp; conditioning director has budget authority + is actively hunting injury-reduction tooling. Target programs: CHAMP-adjacent athletic departments, Power-5 S&amp;C networks via advisor + founder relationships. Timeline: 60–90 days from first conversation to install.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Pro teams</w:t>
      </w:r>
      <w:r>
        <w:t xml:space="preserve"> </w:t>
      </w:r>
      <w:r>
        <w:t xml:space="preserve">— longest sales cycle, highest brand value. Performance staffs are sophisticated buyers but procurement gates are slow. Target entry: NFL/NBA/MLS performance staff via warm intros (Pederson, Pearcy, Jordan network). Timeline: 90–180 days. Likely first pilot: a contrarian staff willing to test early vs. the league average.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Military — non-dilutive capital channel, NOT first-pilot source.</w:t>
      </w:r>
      <w:r>
        <w:t xml:space="preserve"> </w:t>
      </w:r>
      <w:r>
        <w:t xml:space="preserve">DoD data protection, permission chains, and clearance overhead make it the slowest path to pilot</w:t>
      </w:r>
      <w:r>
        <w:t xml:space="preserve"> </w:t>
      </w:r>
      <w:r>
        <w:rPr>
          <w:iCs/>
          <w:i/>
        </w:rPr>
        <w:t xml:space="preserve">data</w:t>
      </w:r>
      <w:r>
        <w:t xml:space="preserve"> </w:t>
      </w:r>
      <w:r>
        <w:t xml:space="preserve">even though it’s the fastest path to non-dilutive</w:t>
      </w:r>
      <w:r>
        <w:t xml:space="preserve"> </w:t>
      </w:r>
      <w:r>
        <w:rPr>
          <w:iCs/>
          <w:i/>
        </w:rPr>
        <w:t xml:space="preserve">capital</w:t>
      </w:r>
      <w:r>
        <w:t xml:space="preserve">. AFWERX SBIR, SOFWERX CRADA, DIU Prototype OTA → capital engine. First commercial pilot data comes from Teams, not DoD.</w:t>
      </w:r>
    </w:p>
    <w:p>
      <w:pPr>
        <w:pStyle w:val="FirstParagraph"/>
      </w:pPr>
      <w:r>
        <w:rPr>
          <w:bCs/>
          <w:b/>
        </w:rPr>
        <w:t xml:space="preserve">Why that ordering matters for this round:</w:t>
      </w:r>
      <w:r>
        <w:t xml:space="preserve"> </w:t>
      </w:r>
      <w:r>
        <w:t xml:space="preserve">- Collegiate pilot data → feeds hazard-ratio dataset → unlocks insurance validation narrative in Year 2.</w:t>
      </w:r>
      <w:r>
        <w:t xml:space="preserve"> </w:t>
      </w:r>
      <w:r>
        <w:t xml:space="preserve">- Pro pilot data → press signal + pricing anchor (a pro team paying $60K/yr validates the model).</w:t>
      </w:r>
      <w:r>
        <w:t xml:space="preserve"> </w:t>
      </w:r>
      <w:r>
        <w:t xml:space="preserve">- DoD capital → extends runway without equity dilution.</w:t>
      </w:r>
    </w:p>
    <w:p>
      <w:pPr>
        <w:pStyle w:val="BodyText"/>
      </w:pPr>
      <w:r>
        <w:rPr>
          <w:bCs/>
          <w:b/>
        </w:rPr>
        <w:t xml:space="preserve">Next step forward:</w:t>
      </w:r>
      <w:r>
        <w:t xml:space="preserve"> </w:t>
      </w:r>
      <w:r>
        <w:t xml:space="preserve">Pederson outreach live this week via parents. Collegiate intros via Adam’s U Kentucky network in parallel.</w:t>
      </w:r>
    </w:p>
    <w:p>
      <w:r>
        <w:pict>
          <v:rect style="width:0;height:1.5pt" o:hralign="center" o:hrstd="t" o:hr="t"/>
        </w:pict>
      </w:r>
    </w:p>
    <w:bookmarkEnd w:id="22"/>
    <w:bookmarkStart w:id="23" w:name="lukes-active-duty-scope-legal-role"/>
    <w:p>
      <w:pPr>
        <w:pStyle w:val="Heading2"/>
      </w:pPr>
      <w:r>
        <w:t xml:space="preserve">4. Luke’s active-duty scope — legal + role</w:t>
      </w:r>
    </w:p>
    <w:p>
      <w:pPr>
        <w:pStyle w:val="FirstParagraph"/>
      </w:pPr>
      <w:r>
        <w:rPr>
          <w:bCs/>
          <w:b/>
        </w:rPr>
        <w:t xml:space="preserve">The concern any investor should raise:</w:t>
      </w:r>
      <w:r>
        <w:t xml:space="preserve"> </w:t>
      </w:r>
      <w:r>
        <w:t xml:space="preserve">co-founder on active military duty. Is he allowed to do this? Is he allowed to sell to the government?</w:t>
      </w:r>
    </w:p>
    <w:p>
      <w:pPr>
        <w:pStyle w:val="BodyText"/>
      </w:pPr>
      <w:r>
        <w:rPr>
          <w:bCs/>
          <w:b/>
        </w:rPr>
        <w:t xml:space="preserve">Answer: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USAF off-duty employment form filed Apr 22, 2026.</w:t>
      </w:r>
      <w:r>
        <w:t xml:space="preserve"> </w:t>
      </w:r>
      <w:r>
        <w:t xml:space="preserve">Standard process for active-duty personnel with outside business interests. Approved under the off-duty framework.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Formal legal blessing this week.</w:t>
      </w:r>
      <w:r>
        <w:t xml:space="preserve"> </w:t>
      </w:r>
      <w:r>
        <w:t xml:space="preserve">Meeting scheduled with CO base mil-side lawyer to confirm scope. Not optional; RSPA does not execute until we have the blessing in writing.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Operating scope is advisor / strategy / contacts — NOT direct customer negotiation with the government.</w:t>
      </w:r>
      <w:r>
        <w:t xml:space="preserve"> </w:t>
      </w:r>
      <w:r>
        <w:t xml:space="preserve">Luke’s military access is:</w:t>
      </w:r>
    </w:p>
    <w:p>
      <w:pPr>
        <w:numPr>
          <w:ilvl w:val="1"/>
          <w:numId w:val="1009"/>
        </w:numPr>
        <w:pStyle w:val="Compact"/>
      </w:pPr>
      <w:r>
        <w:t xml:space="preserve">Strategic connectivity and contacts across 711 HPW (AFRL), Special Warfare training wings, operator squadrons.</w:t>
      </w:r>
    </w:p>
    <w:p>
      <w:pPr>
        <w:numPr>
          <w:ilvl w:val="1"/>
          <w:numId w:val="1009"/>
        </w:numPr>
        <w:pStyle w:val="Compact"/>
      </w:pPr>
      <w:r>
        <w:t xml:space="preserve">Engineering leadership for the Modulor product.</w:t>
      </w:r>
    </w:p>
    <w:p>
      <w:pPr>
        <w:numPr>
          <w:ilvl w:val="1"/>
          <w:numId w:val="1009"/>
        </w:numPr>
        <w:pStyle w:val="Compact"/>
      </w:pPr>
      <w:r>
        <w:t xml:space="preserve">Domain expertise (he’s the target user and has built training hardware for this exact population).</w:t>
      </w:r>
    </w:p>
    <w:p>
      <w:pPr>
        <w:numPr>
          <w:ilvl w:val="0"/>
          <w:numId w:val="1000"/>
        </w:numPr>
      </w:pPr>
      <w:r>
        <w:t xml:space="preserve">Luke does NOT:</w:t>
      </w:r>
    </w:p>
    <w:p>
      <w:pPr>
        <w:numPr>
          <w:ilvl w:val="1"/>
          <w:numId w:val="1010"/>
        </w:numPr>
        <w:pStyle w:val="Compact"/>
      </w:pPr>
      <w:r>
        <w:t xml:space="preserve">Negotiate directly with DoD on contract terms.</w:t>
      </w:r>
    </w:p>
    <w:p>
      <w:pPr>
        <w:numPr>
          <w:ilvl w:val="1"/>
          <w:numId w:val="1010"/>
        </w:numPr>
        <w:pStyle w:val="Compact"/>
      </w:pPr>
      <w:r>
        <w:t xml:space="preserve">Represent Modulor as</w:t>
      </w:r>
      <w:r>
        <w:t xml:space="preserve"> </w:t>
      </w:r>
      <w:r>
        <w:t xml:space="preserve">“</w:t>
      </w:r>
      <w:r>
        <w:t xml:space="preserve">the face to government.</w:t>
      </w:r>
      <w:r>
        <w:t xml:space="preserve">”</w:t>
      </w:r>
    </w:p>
    <w:p>
      <w:pPr>
        <w:numPr>
          <w:ilvl w:val="1"/>
          <w:numId w:val="1010"/>
        </w:numPr>
        <w:pStyle w:val="Compact"/>
      </w:pPr>
      <w:r>
        <w:t xml:space="preserve">Use his active-duty status as a personal access channel for business development.</w:t>
      </w:r>
    </w:p>
    <w:p>
      <w:pPr>
        <w:numPr>
          <w:ilvl w:val="0"/>
          <w:numId w:val="1000"/>
        </w:numPr>
      </w:pPr>
      <w:r>
        <w:t xml:space="preserve">Direct customer negotiations and contracting are led by Mitchell. Luke is behind the line while active duty.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External branding vs. practical division of labor.</w:t>
      </w:r>
      <w:r>
        <w:t xml:space="preserve"> </w:t>
      </w:r>
      <w:r>
        <w:t xml:space="preserve">Luke’s title (CTO) is external. While he’s active duty, Mitchell runs investor calls and DoD BD directly. Luke’s contribution compounds through product + engineering + warm network, not through being the front-of-room salesperson for government deals.</w:t>
      </w:r>
    </w:p>
    <w:p>
      <w:pPr>
        <w:pStyle w:val="FirstParagraph"/>
      </w:pPr>
      <w:r>
        <w:rPr>
          <w:bCs/>
          <w:b/>
        </w:rPr>
        <w:t xml:space="preserve">Next step forward:</w:t>
      </w:r>
      <w:r>
        <w:t xml:space="preserve"> </w:t>
      </w:r>
      <w:r>
        <w:t xml:space="preserve">lawyer memo will live in the data room under</w:t>
      </w:r>
      <w:r>
        <w:t xml:space="preserve"> </w:t>
      </w:r>
      <w:r>
        <w:rPr>
          <w:rStyle w:val="VerbatimChar"/>
        </w:rPr>
        <w:t xml:space="preserve">formation-docs/</w:t>
      </w:r>
      <w:r>
        <w:t xml:space="preserve">. Happy to share once signed.</w:t>
      </w:r>
    </w:p>
    <w:p>
      <w:r>
        <w:pict>
          <v:rect style="width:0;height:1.5pt" o:hralign="center" o:hrstd="t" o:hr="t"/>
        </w:pict>
      </w:r>
    </w:p>
    <w:bookmarkEnd w:id="23"/>
    <w:bookmarkStart w:id="24" w:name="Xa7c91c6bc7eb5e7d7167a1b42bfca4fbee8f52e"/>
    <w:p>
      <w:pPr>
        <w:pStyle w:val="Heading2"/>
      </w:pPr>
      <w:r>
        <w:t xml:space="preserve">5. Use of funds — $3M over 30 months = $100K/mo burn</w:t>
      </w:r>
    </w:p>
    <w:p>
      <w:pPr>
        <w:pStyle w:val="FirstParagraph"/>
      </w:pPr>
      <w:r>
        <w:rPr>
          <w:bCs/>
          <w:b/>
        </w:rPr>
        <w:t xml:space="preserve">Category breakdown: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prototyping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Go-to-market (pilot ops, clinical validation, DoD SBIR)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 (utility conversion, PCT, continuations, trademark)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 + reserve (D&amp;O, corporate, contingency)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$3,000,000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</w:tr>
    </w:tbl>
    <w:p>
      <w:pPr>
        <w:pStyle w:val="BodyText"/>
      </w:pPr>
      <w:r>
        <w:rPr>
          <w:bCs/>
          <w:b/>
        </w:rPr>
        <w:t xml:space="preserve">Burn math:</w:t>
      </w:r>
      <w:r>
        <w:t xml:space="preserve"> </w:t>
      </w:r>
      <w:r>
        <w:t xml:space="preserve">- $3M / 30 months =</w:t>
      </w:r>
      <w:r>
        <w:t xml:space="preserve"> </w:t>
      </w:r>
      <w:r>
        <w:rPr>
          <w:bCs/>
          <w:b/>
        </w:rPr>
        <w:t xml:space="preserve">$100K/month steady-state burn.</w:t>
      </w:r>
      <w:r>
        <w:t xml:space="preserve"> </w:t>
      </w:r>
      <w:r>
        <w:t xml:space="preserve">- Month 1–6: closer to $60K/month (hiring in progress, pilot units not yet built).</w:t>
      </w:r>
      <w:r>
        <w:t xml:space="preserve"> </w:t>
      </w:r>
      <w:r>
        <w:t xml:space="preserve">- Month 7–24: peak burn ~$120K/month (full eng team, 5–8 pilot stations in the field).</w:t>
      </w:r>
      <w:r>
        <w:t xml:space="preserve"> </w:t>
      </w:r>
      <w:r>
        <w:t xml:space="preserve">- Month 25–30: tapering as revenue ramps; Series A should close in this window.</w:t>
      </w:r>
    </w:p>
    <w:p>
      <w:pPr>
        <w:pStyle w:val="BodyText"/>
      </w:pPr>
      <w:r>
        <w:rPr>
          <w:bCs/>
          <w:b/>
        </w:rPr>
        <w:t xml:space="preserve">What $3M buys:</w:t>
      </w:r>
      <w:r>
        <w:t xml:space="preserve"> </w:t>
      </w:r>
      <w:r>
        <w:t xml:space="preserve">1. 5–8 pilot stations deployed across pro + collegiate programs.</w:t>
      </w:r>
      <w:r>
        <w:t xml:space="preserve"> </w:t>
      </w:r>
      <w:r>
        <w:t xml:space="preserve">2. Utility patent conversion (provisional → non-provisional → PCT).</w:t>
      </w:r>
      <w:r>
        <w:t xml:space="preserve"> </w:t>
      </w:r>
      <w:r>
        <w:t xml:space="preserve">3. First peer-reviewed clinical validation (hazard-ratio paper).</w:t>
      </w:r>
      <w:r>
        <w:t xml:space="preserve"> </w:t>
      </w:r>
      <w:r>
        <w:t xml:space="preserve">4. AFWERX Phase I submission + path to Phase II ($1.7M non-dilutive, separately).</w:t>
      </w:r>
      <w:r>
        <w:t xml:space="preserve"> </w:t>
      </w:r>
      <w:r>
        <w:t xml:space="preserve">5. First insurance data-licensing LOI (non-revenue; validation gate for Series A).</w:t>
      </w:r>
    </w:p>
    <w:p>
      <w:pPr>
        <w:pStyle w:val="BodyText"/>
      </w:pPr>
      <w:r>
        <w:rPr>
          <w:bCs/>
          <w:b/>
        </w:rPr>
        <w:t xml:space="preserve">Series A trigger metrics:</w:t>
      </w:r>
      <w:r>
        <w:t xml:space="preserve"> </w:t>
      </w:r>
      <w:r>
        <w:t xml:space="preserve">- $2–4M ARR</w:t>
      </w:r>
      <w:r>
        <w:t xml:space="preserve"> </w:t>
      </w:r>
      <w:r>
        <w:t xml:space="preserve">- 25K+ athlete-months in corpus</w:t>
      </w:r>
      <w:r>
        <w:t xml:space="preserve"> </w:t>
      </w:r>
      <w:r>
        <w:t xml:space="preserve">- 1 insurer data-licensing pilot live</w:t>
      </w:r>
      <w:r>
        <w:t xml:space="preserve"> </w:t>
      </w:r>
      <w:r>
        <w:t xml:space="preserve">- 3+ AMS integrations live (Smartabase, Catapult, etc.)</w:t>
      </w:r>
      <w:r>
        <w:t xml:space="preserve"> </w:t>
      </w:r>
      <w:r>
        <w:t xml:space="preserve">- DoD non-dilutive award in hand</w:t>
      </w:r>
    </w:p>
    <w:p>
      <w:pPr>
        <w:pStyle w:val="BodyText"/>
      </w:pPr>
      <w:r>
        <w:rPr>
          <w:bCs/>
          <w:b/>
        </w:rPr>
        <w:t xml:space="preserve">Next step forward:</w:t>
      </w:r>
      <w:r>
        <w:t xml:space="preserve"> </w:t>
      </w:r>
      <w:r>
        <w:t xml:space="preserve">full financial model in data room, monthly burn schedule editable.</w:t>
      </w:r>
    </w:p>
    <w:p>
      <w:r>
        <w:pict>
          <v:rect style="width:0;height:1.5pt" o:hralign="center" o:hrstd="t" o:hr="t"/>
        </w:pict>
      </w:r>
    </w:p>
    <w:bookmarkEnd w:id="24"/>
    <w:bookmarkStart w:id="25" w:name="ip-vitr-001-the-protection-stack"/>
    <w:p>
      <w:pPr>
        <w:pStyle w:val="Heading2"/>
      </w:pPr>
      <w:r>
        <w:t xml:space="preserve">6. IP — VITR-001 + the protection stack</w:t>
      </w:r>
    </w:p>
    <w:p>
      <w:pPr>
        <w:pStyle w:val="FirstParagraph"/>
      </w:pPr>
      <w:r>
        <w:rPr>
          <w:bCs/>
          <w:b/>
        </w:rPr>
        <w:t xml:space="preserve">Current status: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Provisional patent VITR-001 filed.</w:t>
      </w:r>
      <w:r>
        <w:t xml:space="preserve"> </w:t>
      </w:r>
      <w:r>
        <w:t xml:space="preserve">Prior to formation, by Mitchell as individual inventor. 12-month non-provisional conversion window running. Hard deadline: ~April 15, 2027.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Contribution at formation:</w:t>
      </w:r>
      <w:r>
        <w:t xml:space="preserve"> </w:t>
      </w:r>
      <w:r>
        <w:t xml:space="preserve">assigned to Modulor, Inc. via Atlas-default IP-as-consideration at incorporation. Clean chain of title.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Reassignment pending EIN:</w:t>
      </w:r>
      <w:r>
        <w:t xml:space="preserve"> </w:t>
      </w:r>
      <w:r>
        <w:t xml:space="preserve">formal reassignment document from Mitchell → Modulor Inc. executes the moment EIN lands. Required before first investor check.</w:t>
      </w:r>
    </w:p>
    <w:p>
      <w:pPr>
        <w:pStyle w:val="FirstParagraph"/>
      </w:pPr>
      <w:r>
        <w:rPr>
          <w:bCs/>
          <w:b/>
        </w:rPr>
        <w:t xml:space="preserve">Protection layers (planned $300K IP budget):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Utility conversion (3 claims)</w:t>
      </w:r>
      <w:r>
        <w:t xml:space="preserve"> </w:t>
      </w:r>
      <w:r>
        <w:t xml:space="preserve">— $45K. Within 12 months of provisional.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PCT filing (international)</w:t>
      </w:r>
      <w:r>
        <w:t xml:space="preserve"> </w:t>
      </w:r>
      <w:r>
        <w:t xml:space="preserve">— $60K. Simultaneous with utility conversion.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Continuations (method + apparatus + system)</w:t>
      </w:r>
      <w:r>
        <w:t xml:space="preserve"> </w:t>
      </w:r>
      <w:r>
        <w:t xml:space="preserve">— $90K. Stretch the coverage envelope.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Trademark</w:t>
      </w:r>
      <w:r>
        <w:t xml:space="preserve"> </w:t>
      </w:r>
      <w:r>
        <w:t xml:space="preserve">— $45K. USPTO Classes 9, 10, 41. Self-file via TEAS Plus.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Data-rights counsel</w:t>
      </w:r>
      <w:r>
        <w:t xml:space="preserve"> </w:t>
      </w:r>
      <w:r>
        <w:t xml:space="preserve">— $60K. Template + per-deal contract review. The perpetual de-identified corpus retention clause is the heart of the moat.</w:t>
      </w:r>
    </w:p>
    <w:p>
      <w:pPr>
        <w:pStyle w:val="FirstParagraph"/>
      </w:pPr>
      <w:r>
        <w:rPr>
          <w:bCs/>
          <w:b/>
        </w:rPr>
        <w:t xml:space="preserve">Why the IP isn’t the moat (even though it’s strong):</w:t>
      </w:r>
      <w:r>
        <w:t xml:space="preserve"> </w:t>
      </w:r>
      <w:r>
        <w:t xml:space="preserve">- The device is the collection mechanism. The real moat is the dataset + workflow + AMS integrations that compound after deployment.</w:t>
      </w:r>
      <w:r>
        <w:t xml:space="preserve"> </w:t>
      </w:r>
      <w:r>
        <w:t xml:space="preserve">- Any competitor can eventually build a cable machine. They cannot replicate 3 years of elite-athlete flexibility data, a peer-reviewed hazard-ratio study, and a data-rights clause in every lease contract.</w:t>
      </w:r>
    </w:p>
    <w:p>
      <w:pPr>
        <w:pStyle w:val="BodyText"/>
      </w:pPr>
      <w:r>
        <w:rPr>
          <w:bCs/>
          <w:b/>
        </w:rPr>
        <w:t xml:space="preserve">Next step forward:</w:t>
      </w:r>
      <w:r>
        <w:t xml:space="preserve"> </w:t>
      </w:r>
      <w:r>
        <w:t xml:space="preserve">provisional filing receipt + drawings in the data room. Non-provisional conversion budget is line-item in the use-of-funds.</w:t>
      </w:r>
    </w:p>
    <w:p>
      <w:r>
        <w:pict>
          <v:rect style="width:0;height:1.5pt" o:hralign="center" o:hrstd="t" o:hr="t"/>
        </w:pict>
      </w:r>
    </w:p>
    <w:bookmarkEnd w:id="25"/>
    <w:bookmarkStart w:id="29" w:name="exit-scenarios"/>
    <w:p>
      <w:pPr>
        <w:pStyle w:val="Heading2"/>
      </w:pPr>
      <w:r>
        <w:t xml:space="preserve">7. Exit scenarios</w:t>
      </w:r>
    </w:p>
    <w:p>
      <w:pPr>
        <w:pStyle w:val="FirstParagraph"/>
      </w:pPr>
      <w:r>
        <w:rPr>
          <w:bCs/>
          <w:b/>
        </w:rPr>
        <w:t xml:space="preserve">Three credible paths, in rough order of likelihood:</w:t>
      </w:r>
    </w:p>
    <w:bookmarkStart w:id="26" w:name="a.-strategic-acquisition-the-base-case"/>
    <w:p>
      <w:pPr>
        <w:pStyle w:val="Heading3"/>
      </w:pPr>
      <w:r>
        <w:t xml:space="preserve">A. Strategic acquisition — the base case</w:t>
      </w:r>
    </w:p>
    <w:p>
      <w:pPr>
        <w:pStyle w:val="FirstParagraph"/>
      </w:pPr>
      <w:r>
        <w:rPr>
          <w:bCs/>
          <w:b/>
        </w:rPr>
        <w:t xml:space="preserve">Acquirers:</w:t>
      </w:r>
      <w:r>
        <w:t xml:space="preserve"> </w:t>
      </w:r>
      <w:r>
        <w:t xml:space="preserve">Hyperice, Catapult, Nike, TeamWorx (Smartabase parent), VALD parent (MQ Scientific).</w:t>
      </w:r>
    </w:p>
    <w:p>
      <w:pPr>
        <w:pStyle w:val="BodyText"/>
      </w:pPr>
      <w:r>
        <w:rPr>
          <w:bCs/>
          <w:b/>
        </w:rPr>
        <w:t xml:space="preserve">Why:</w:t>
      </w:r>
      <w:r>
        <w:t xml:space="preserve"> </w:t>
      </w:r>
      <w:r>
        <w:t xml:space="preserve">the patent + data corpus + AMS integrations are the asset. These acquirers already own distribution into pro + collegiate performance staffs. They do NOT own a measurement-plus-intervention surface. Modulor fills the hole.</w:t>
      </w:r>
    </w:p>
    <w:p>
      <w:pPr>
        <w:pStyle w:val="BodyText"/>
      </w:pPr>
      <w:r>
        <w:rPr>
          <w:bCs/>
          <w:b/>
        </w:rPr>
        <w:t xml:space="preserve">Trigger:</w:t>
      </w:r>
      <w:r>
        <w:t xml:space="preserve"> </w:t>
      </w:r>
      <w:r>
        <w:t xml:space="preserve">$10M+ ARR, 50K+ athlete-months in corpus, published clinical validation.</w:t>
      </w:r>
    </w:p>
    <w:p>
      <w:pPr>
        <w:pStyle w:val="BodyText"/>
      </w:pPr>
      <w:r>
        <w:rPr>
          <w:bCs/>
          <w:b/>
        </w:rPr>
        <w:t xml:space="preserve">Range:</w:t>
      </w:r>
      <w:r>
        <w:t xml:space="preserve"> </w:t>
      </w:r>
      <w:r>
        <w:t xml:space="preserve">6–12x ARR = $60M–$120M. Higher if the data-licensing narrative lands with insurance partners before acquisition.</w:t>
      </w:r>
    </w:p>
    <w:bookmarkEnd w:id="26"/>
    <w:bookmarkStart w:id="27" w:name="Xb4901ae2a6e6b74de5a7c7898fa186b07bf0cdf"/>
    <w:p>
      <w:pPr>
        <w:pStyle w:val="Heading3"/>
      </w:pPr>
      <w:r>
        <w:t xml:space="preserve">B. Vertical insurance licensing — the upside case</w:t>
      </w:r>
    </w:p>
    <w:p>
      <w:pPr>
        <w:pStyle w:val="FirstParagraph"/>
      </w:pPr>
      <w:r>
        <w:rPr>
          <w:bCs/>
          <w:b/>
        </w:rPr>
        <w:t xml:space="preserve">Partner:</w:t>
      </w:r>
      <w:r>
        <w:t xml:space="preserve"> </w:t>
      </w:r>
      <w:r>
        <w:t xml:space="preserve">WC / disability carriers (Travelers, Liberty Mutual, AIG). $70B+ US market. MSK = ~40% of claims.</w:t>
      </w:r>
    </w:p>
    <w:p>
      <w:pPr>
        <w:pStyle w:val="BodyText"/>
      </w:pPr>
      <w:r>
        <w:rPr>
          <w:bCs/>
          <w:b/>
        </w:rPr>
        <w:t xml:space="preserve">Why:</w:t>
      </w:r>
      <w:r>
        <w:t xml:space="preserve"> </w:t>
      </w:r>
      <w:r>
        <w:t xml:space="preserve">once the hazard-ratio validation is peer-reviewed, carriers buy aggregated risk signals — not hardware. The data corpus is the product; Modulor becomes an actuarial-infrastructure company.</w:t>
      </w:r>
    </w:p>
    <w:p>
      <w:pPr>
        <w:pStyle w:val="BodyText"/>
      </w:pPr>
      <w:r>
        <w:rPr>
          <w:bCs/>
          <w:b/>
        </w:rPr>
        <w:t xml:space="preserve">Trigger:</w:t>
      </w:r>
      <w:r>
        <w:t xml:space="preserve"> </w:t>
      </w:r>
      <w:r>
        <w:t xml:space="preserve">peer-reviewed clinical paper + 10K+ athlete-months in corpus. Earliest Year 3.</w:t>
      </w:r>
    </w:p>
    <w:p>
      <w:pPr>
        <w:pStyle w:val="BodyText"/>
      </w:pPr>
      <w:r>
        <w:rPr>
          <w:bCs/>
          <w:b/>
        </w:rPr>
        <w:t xml:space="preserve">Range:</w:t>
      </w:r>
      <w:r>
        <w:t xml:space="preserve"> </w:t>
      </w:r>
      <w:r>
        <w:t xml:space="preserve">10–20x revenue. Company revalues as a data-infrastructure business, not a hardware business.</w:t>
      </w:r>
    </w:p>
    <w:bookmarkEnd w:id="27"/>
    <w:bookmarkStart w:id="28" w:name="c.-ipo-path-the-tail-case"/>
    <w:p>
      <w:pPr>
        <w:pStyle w:val="Heading3"/>
      </w:pPr>
      <w:r>
        <w:t xml:space="preserve">C. IPO path — the tail case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$100M+ ARR across Teams + Insurance + DoD. Dual-track data infrastructure + hardware story.</w:t>
      </w:r>
    </w:p>
    <w:p>
      <w:pPr>
        <w:pStyle w:val="BodyText"/>
      </w:pPr>
      <w:r>
        <w:rPr>
          <w:bCs/>
          <w:b/>
        </w:rPr>
        <w:t xml:space="preserve">Why it’s a tail case:</w:t>
      </w:r>
      <w:r>
        <w:t xml:space="preserve"> </w:t>
      </w:r>
      <w:r>
        <w:t xml:space="preserve">longer horizon, requires both pillars to materialize. Not what we’re underwriting the seed on. But the market size supports it.</w:t>
      </w:r>
    </w:p>
    <w:p>
      <w:pPr>
        <w:pStyle w:val="BodyText"/>
      </w:pPr>
      <w:r>
        <w:rPr>
          <w:bCs/>
          <w:b/>
        </w:rPr>
        <w:t xml:space="preserve">Range:</w:t>
      </w:r>
      <w:r>
        <w:t xml:space="preserve"> </w:t>
      </w:r>
      <w:r>
        <w:t xml:space="preserve">public comparable = Catapult Group (ASX:CAT) at ~6x revenue. Modulor with insurance licensing + DoD revenue would trade richer.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Next step forward on the whole packet:</w:t>
      </w:r>
      <w:r>
        <w:t xml:space="preserve"> </w:t>
      </w:r>
      <w:r>
        <w:t xml:space="preserve">every question above has a supporting doc in the data room. Happy to walk any one of them in detail on the call.</w:t>
      </w:r>
    </w:p>
    <w:bookmarkEnd w:id="28"/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2026-04-23T19:53:29Z</dcterms:created>
  <dcterms:modified xsi:type="dcterms:W3CDTF">2026-04-23T19:53:29Z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