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integration-roadmap"/>
    <w:p>
      <w:pPr>
        <w:pStyle w:val="Heading1"/>
      </w:pPr>
      <w:r>
        <w:t xml:space="preserve">20. INTEGRATION ROADMAP</w:t>
      </w:r>
    </w:p>
    <w:p>
      <w:pPr>
        <w:pStyle w:val="FirstParagraph"/>
      </w:pPr>
      <w:r>
        <w:t xml:space="preserve">The data is worthless if it stays on our device. Every integration is a distribution lever.</w:t>
      </w:r>
    </w:p>
    <w:bookmarkStart w:id="20" w:name="the-principle"/>
    <w:p>
      <w:pPr>
        <w:pStyle w:val="Heading2"/>
      </w:pPr>
      <w:r>
        <w:t xml:space="preserve">The principle</w:t>
      </w:r>
    </w:p>
    <w:p>
      <w:pPr>
        <w:pStyle w:val="FirstParagraph"/>
      </w:pPr>
      <w:r>
        <w:t xml:space="preserve">We do not build our own AMS. We do not build our own programming app. We do not build our own wearable platform.</w:t>
      </w:r>
      <w:r>
        <w:t xml:space="preserve"> </w:t>
      </w:r>
      <w:r>
        <w:rPr>
          <w:bCs/>
          <w:b/>
        </w:rPr>
        <w:t xml:space="preserve">We are the measurement layer.</w:t>
      </w:r>
      <w:r>
        <w:t xml:space="preserve"> </w:t>
      </w:r>
      <w:r>
        <w:t xml:space="preserve">Every existing platform in the performance stack is a pipe we can feed.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we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become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hardware + the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sensor vendor (low multiple)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hardware + the measurement + the distribution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(high multiple)</w:t>
            </w:r>
          </w:p>
        </w:tc>
      </w:tr>
    </w:tbl>
    <w:p>
      <w:pPr>
        <w:pStyle w:val="BodyText"/>
      </w:pPr>
      <w:r>
        <w:t xml:space="preserve">The integration layer is what turns the hardware into infrastructure.</w:t>
      </w:r>
    </w:p>
    <w:bookmarkEnd w:id="20"/>
    <w:bookmarkStart w:id="21" w:name="tier-1-ship-at-v1-pilot-must-haves"/>
    <w:p>
      <w:pPr>
        <w:pStyle w:val="Heading2"/>
      </w:pPr>
      <w:r>
        <w:t xml:space="preserve">Tier 1 — ship at V1 (pilot must-haves)</w:t>
      </w:r>
    </w:p>
    <w:p>
      <w:pPr>
        <w:pStyle w:val="FirstParagraph"/>
      </w:pPr>
      <w:r>
        <w:t xml:space="preserve">These exist on day-1 of the first pilot. A team saying</w:t>
      </w:r>
      <w:r>
        <w:t xml:space="preserve"> </w:t>
      </w:r>
      <w:r>
        <w:t xml:space="preserve">“</w:t>
      </w:r>
      <w:r>
        <w:t xml:space="preserve">we use Smartabase</w:t>
      </w:r>
      <w:r>
        <w:t xml:space="preserve">”</w:t>
      </w:r>
      <w:r>
        <w:t xml:space="preserve"> </w:t>
      </w:r>
      <w:r>
        <w:t xml:space="preserve">cannot be a reason we lose the deal.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942"/>
        <w:gridCol w:w="3582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lift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Smartabase</w:t>
            </w:r>
            <w:r>
              <w:t xml:space="preserve"> </w:t>
            </w:r>
            <w:r>
              <w:t xml:space="preserve">(Fusion Sport)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AMS in pro + elite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webhook — session JSON → athlete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Kitman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 AMS — EPL, NFL, MLS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— writes to performance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TeamBuildr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strength programming tool — college S&amp;C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+ API — workout completion + ROM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Train Heroic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coach-programmed delivery app — tactical + CrossFit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— mobility check as pre-workout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every session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</w:tr>
    </w:tbl>
    <w:p>
      <w:pPr>
        <w:pStyle w:val="BodyText"/>
      </w:pPr>
      <w:r>
        <w:t xml:space="preserve">Deliverable: A team using any of the above can import Modulor data within 15 minutes of a session ending. No copy-paste. No manual export.</w:t>
      </w:r>
    </w:p>
    <w:bookmarkEnd w:id="21"/>
    <w:bookmarkStart w:id="22" w:name="X28456d1a49d47645deef512f668cde04b3e3b94"/>
    <w:p>
      <w:pPr>
        <w:pStyle w:val="Heading2"/>
      </w:pPr>
      <w:r>
        <w:t xml:space="preserve">Tier 2 — ship within 6 months (expand the wedge)</w:t>
      </w:r>
    </w:p>
    <w:p>
      <w:pPr>
        <w:pStyle w:val="FirstParagraph"/>
      </w:pPr>
      <w:r>
        <w:t xml:space="preserve">These unlock specific buyer categories. Each is a conditional go-to-market unlock.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8"/>
        <w:gridCol w:w="1584"/>
        <w:gridCol w:w="334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Catapult</w:t>
            </w:r>
            <w:r>
              <w:t xml:space="preserve"> </w:t>
            </w:r>
            <w:r>
              <w:t xml:space="preserve">(GPS / IMU)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Workload-to-MSK risk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Bi-directional API — pair training load with next-day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pro team 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Polar Team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Collegiate-tier 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+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college 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Hudl / Teamworks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Roster + schedule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Power 5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/ Cerner 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/ RTD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HL7 FHIR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medical buyer (D1 /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CoachMePlus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 +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by any 2+ pilots</w:t>
            </w:r>
          </w:p>
        </w:tc>
      </w:tr>
    </w:tbl>
    <w:bookmarkEnd w:id="22"/>
    <w:bookmarkStart w:id="23" w:name="X52b48cd1f6532589af85d2a5e118c1fdc8b8731"/>
    <w:p>
      <w:pPr>
        <w:pStyle w:val="Heading2"/>
      </w:pPr>
      <w:r>
        <w:t xml:space="preserve">Tier 3 — ship at scale (infrastructure plays)</w:t>
      </w:r>
    </w:p>
    <w:p>
      <w:pPr>
        <w:pStyle w:val="FirstParagraph"/>
      </w:pPr>
      <w:r>
        <w:t xml:space="preserve">These require data volume to matter. Target: year 2 onward.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34"/>
        <w:gridCol w:w="2084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HealthKit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Athlete-owned longitudinal data, consumer arm of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athletes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Garmin / Whoop / Oura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readiness baselines — fuse with our session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 athletes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MHS GENESIS</w:t>
            </w:r>
            <w:r>
              <w:t xml:space="preserve"> </w:t>
            </w:r>
            <w:r>
              <w:t xml:space="preserve">(DoD EHR)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Military-wide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AFWERX Phase II award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Insurance carrier APIs</w:t>
            </w:r>
            <w:r>
              <w:t xml:space="preserve"> </w:t>
            </w:r>
            <w:r>
              <w:t xml:space="preserve">(WC 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signal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25K athlete-months of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marketplaces</w:t>
            </w:r>
            <w:r>
              <w:t xml:space="preserve"> </w:t>
            </w:r>
            <w:r>
              <w:t xml:space="preserve">(Hyperice HyperSmart, Therabody+)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LOI in hand</w:t>
            </w:r>
          </w:p>
        </w:tc>
      </w:tr>
    </w:tbl>
    <w:bookmarkEnd w:id="23"/>
    <w:bookmarkStart w:id="24" w:name="how-integrations-should-be-scoped"/>
    <w:p>
      <w:pPr>
        <w:pStyle w:val="Heading2"/>
      </w:pPr>
      <w:r>
        <w:t xml:space="preserve">How integrations should be scoped</w:t>
      </w:r>
    </w:p>
    <w:p>
      <w:pPr>
        <w:pStyle w:val="FirstParagraph"/>
      </w:pPr>
      <w:r>
        <w:t xml:space="preserve">One rule:</w:t>
      </w:r>
      <w:r>
        <w:t xml:space="preserve"> </w:t>
      </w:r>
      <w:r>
        <w:rPr>
          <w:bCs/>
          <w:b/>
        </w:rPr>
        <w:t xml:space="preserve">never do bespoke work for a single customer.</w:t>
      </w:r>
      <w:r>
        <w:t xml:space="preserve"> </w:t>
      </w:r>
      <w:r>
        <w:t xml:space="preserve">If a team asks for a custom ETL pipe to their in-house data warehouse, the answer is</w:t>
      </w:r>
      <w:r>
        <w:t xml:space="preserve"> </w:t>
      </w:r>
      <w:r>
        <w:t xml:space="preserve">“</w:t>
      </w:r>
      <w:r>
        <w:t xml:space="preserve">use our REST API</w:t>
      </w:r>
      <w:r>
        <w:t xml:space="preserve">”</w:t>
      </w:r>
      <w:r>
        <w:t xml:space="preserve"> </w:t>
      </w:r>
      <w:r>
        <w:t xml:space="preserve">and we write the template once.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640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Team’s AMS (any of 5 below 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connector, full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every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Team’s in-house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REST API +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any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Team’s custom Slack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Zapier / Make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any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Team’s proprietary clinical 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HL7 FHIR standard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any DoD / hospital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want this specific dashboard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Template, not custom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back — link to UI studio</w:t>
            </w:r>
          </w:p>
        </w:tc>
      </w:tr>
    </w:tbl>
    <w:bookmarkEnd w:id="24"/>
    <w:bookmarkStart w:id="25" w:name="the-api-itself"/>
    <w:p>
      <w:pPr>
        <w:pStyle w:val="Heading2"/>
      </w:pPr>
      <w:r>
        <w:t xml:space="preserve">The API itself</w:t>
      </w:r>
    </w:p>
    <w:p>
      <w:pPr>
        <w:pStyle w:val="FirstParagraph"/>
      </w:pPr>
      <w:r>
        <w:t xml:space="preserve">A minimum-lovable API. Document it by month 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/athletes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/ sync athlete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/athletes/{id}/sessions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Externally-initiated session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/sessions/{id}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session record (ROM, force, asymmetry, compensation, flags)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/sessions/{id}/report.pdf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/webhooks/session-complete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push to subscribed URLs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/risk/{athlete_id}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risk score + drivers</w:t>
            </w:r>
          </w:p>
        </w:tc>
      </w:tr>
    </w:tbl>
    <w:p>
      <w:pPr>
        <w:pStyle w:val="BodyText"/>
      </w:pPr>
      <w:r>
        <w:t xml:space="preserve">Every AMS / strength-app partner subscribes to the same webhook. We build the connectors, but the underlying API is the product.</w:t>
      </w:r>
    </w:p>
    <w:bookmarkEnd w:id="25"/>
    <w:bookmarkStart w:id="26" w:name="the-insurance-integration-the-prize"/>
    <w:p>
      <w:pPr>
        <w:pStyle w:val="Heading2"/>
      </w:pPr>
      <w:r>
        <w:t xml:space="preserve">The insurance integration — the prize</w:t>
      </w:r>
    </w:p>
    <w:p>
      <w:pPr>
        <w:pStyle w:val="FirstParagraph"/>
      </w:pPr>
      <w:r>
        <w:t xml:space="preserve">Insurance carriers do not integrate with point solutions. They license aggregated, anonymized risk signals via data-licensing APIs.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Per-athlete risk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Monthly, per-insured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Population-level MSK 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Quarterly, by sport / unit /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Return-to-duty ROM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Peer-reviewed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Longitudinal asymmetry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Actuarial inputs</w:t>
            </w:r>
          </w:p>
        </w:tc>
      </w:tr>
    </w:tbl>
    <w:p>
      <w:pPr>
        <w:pStyle w:val="BodyText"/>
      </w:pPr>
      <w:r>
        <w:t xml:space="preserve">This does not require integration with their claims systems. It is a data feed with signed BAAs and a flat licensing fee. Target: $250K–$1M per carrier per year after year 2.</w:t>
      </w:r>
    </w:p>
    <w:bookmarkEnd w:id="26"/>
    <w:bookmarkStart w:id="27" w:name="ownership-precedent"/>
    <w:p>
      <w:pPr>
        <w:pStyle w:val="Heading2"/>
      </w:pPr>
      <w:r>
        <w:t xml:space="preserve">Ownership + precedent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0"/>
        <w:gridCol w:w="45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we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partners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session record (raw + derived)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athlete identity mapping on their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aggregate corpus (for licensing)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team’s treatment / programming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API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UI, their workflow</w:t>
            </w:r>
          </w:p>
        </w:tc>
      </w:tr>
    </w:tbl>
    <w:p>
      <w:pPr>
        <w:pStyle w:val="BodyText"/>
      </w:pPr>
      <w:r>
        <w:t xml:space="preserve">Every pilot contract includes a data-rights clause that gives us perpetual, de-identified use of session records. Teams get the full stream back into their AMS — we retain the underlying corpus. This is the insurance-licensing precondition. No exceptions.</w:t>
      </w:r>
    </w:p>
    <w:bookmarkEnd w:id="27"/>
    <w:bookmarkStart w:id="28" w:name="the-one-sentence-strategy"/>
    <w:p>
      <w:pPr>
        <w:pStyle w:val="Heading2"/>
      </w:pPr>
      <w:r>
        <w:t xml:space="preserve">The one-sentence strategy</w:t>
      </w:r>
    </w:p>
    <w:p>
      <w:pPr>
        <w:pStyle w:val="FirstParagraph"/>
      </w:pPr>
      <w:r>
        <w:rPr>
          <w:bCs/>
          <w:b/>
        </w:rPr>
        <w:t xml:space="preserve">Ship the 4 integrations a pilot will ask for at install. Document the API publicly. Treat insurance as a data-licensing relationship, not a software integration. Never write bespoke code for one customer.</w:t>
      </w:r>
    </w:p>
    <w:bookmarkEnd w:id="28"/>
    <w:bookmarkStart w:id="29" w:name="the-90-day-integration-plan"/>
    <w:p>
      <w:pPr>
        <w:pStyle w:val="Heading2"/>
      </w:pPr>
      <w:r>
        <w:t xml:space="preserve">The 90-day integration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v1 connectors: Smartabase, Kitman, TeamBuildr, Train Heroic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CSV export + public REST API. Document at 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Smartabase + TeamBuildr connectors (the top 2 by pilot request frequency)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Kitman + Train Heroic. Announce API + partners in seed-round materials</w:t>
            </w:r>
          </w:p>
        </w:tc>
      </w:tr>
    </w:tbl>
    <w:p>
      <w:pPr>
        <w:pStyle w:val="BodyText"/>
      </w:pPr>
      <w:r>
        <w:t xml:space="preserve">Outcome at day 90: any first pilot can say</w:t>
      </w:r>
      <w:r>
        <w:t xml:space="preserve"> </w:t>
      </w:r>
      <w:r>
        <w:t xml:space="preserve">“</w:t>
      </w:r>
      <w:r>
        <w:t xml:space="preserve">yes we use [Smartabase / Kitman / TeamBuildr / Train Heroic]</w:t>
      </w:r>
      <w:r>
        <w:t xml:space="preserve">”</w:t>
      </w:r>
      <w:r>
        <w:t xml:space="preserve"> </w:t>
      </w:r>
      <w:r>
        <w:t xml:space="preserve">and the response is</w:t>
      </w:r>
      <w:r>
        <w:t xml:space="preserve"> </w:t>
      </w:r>
      <w:r>
        <w:t xml:space="preserve">“</w:t>
      </w:r>
      <w:r>
        <w:t xml:space="preserve">we integrate — already shipped.</w:t>
      </w:r>
      <w:r>
        <w:t xml:space="preserve">”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2026-04-23T19:53:29Z</dcterms:created>
  <dcterms:modified xsi:type="dcterms:W3CDTF">2026-04-23T19:53:29Z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