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emo-co-founder-role-equity-andrew-lisa"/>
    <w:p>
      <w:pPr>
        <w:pStyle w:val="Heading1"/>
      </w:pPr>
      <w:r>
        <w:t xml:space="preserve">Memo: Co-Founder Role &amp; Equity — Andrew Lisa</w:t>
      </w:r>
    </w:p>
    <w:p>
      <w:pPr>
        <w:pStyle w:val="FirstParagraph"/>
      </w:pPr>
      <w:r>
        <w:rPr>
          <w:bCs/>
          <w:b/>
        </w:rPr>
        <w:t xml:space="preserve">To:</w:t>
      </w:r>
      <w:r>
        <w:t xml:space="preserve"> </w:t>
      </w:r>
      <w:r>
        <w:t xml:space="preserve">Andrew Lisa</w:t>
      </w:r>
      <w:r>
        <w:t xml:space="preserve"> </w:t>
      </w:r>
      <w:r>
        <w:rPr>
          <w:bCs/>
          <w:b/>
        </w:rPr>
        <w:t xml:space="preserve">From:</w:t>
      </w:r>
      <w:r>
        <w:t xml:space="preserve"> </w:t>
      </w:r>
      <w:r>
        <w:t xml:space="preserve">Mitchell Lisa</w:t>
      </w:r>
      <w:r>
        <w:t xml:space="preserve"> </w:t>
      </w:r>
      <w:r>
        <w:rPr>
          <w:bCs/>
          <w:b/>
        </w:rPr>
        <w:t xml:space="preserve">Re:</w:t>
      </w:r>
      <w:r>
        <w:t xml:space="preserve"> </w:t>
      </w:r>
      <w:r>
        <w:t xml:space="preserve">Formalizing your role, equity, and scope at Modulor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April 21, 2026</w:t>
      </w:r>
    </w:p>
    <w:p>
      <w:r>
        <w:pict>
          <v:rect style="width:0;height:1.5pt" o:hralign="center" o:hrstd="t" o:hr="t"/>
        </w:pict>
      </w:r>
    </w:p>
    <w:bookmarkStart w:id="20" w:name="intent"/>
    <w:p>
      <w:pPr>
        <w:pStyle w:val="Heading2"/>
      </w:pPr>
      <w:r>
        <w:t xml:space="preserve">Intent</w:t>
      </w:r>
    </w:p>
    <w:p>
      <w:pPr>
        <w:pStyle w:val="FirstParagraph"/>
      </w:pPr>
      <w:r>
        <w:t xml:space="preserve">Andrew — this memo puts the role and terms we discussed on paper so we can</w:t>
      </w:r>
      <w:r>
        <w:t xml:space="preserve"> </w:t>
      </w:r>
      <w:r>
        <w:t xml:space="preserve">lock it in at the first board meeting and get you onto the team slide for</w:t>
      </w:r>
      <w:r>
        <w:t xml:space="preserve"> </w:t>
      </w:r>
      <w:r>
        <w:t xml:space="preserve">investor conversations. Nothing here is final until we both sign; read it,</w:t>
      </w:r>
      <w:r>
        <w:t xml:space="preserve"> </w:t>
      </w:r>
      <w:r>
        <w:t xml:space="preserve">push back on anything that feels off, and we’ll adjust.</w:t>
      </w:r>
    </w:p>
    <w:bookmarkEnd w:id="20"/>
    <w:bookmarkStart w:id="21" w:name="role"/>
    <w:p>
      <w:pPr>
        <w:pStyle w:val="Heading2"/>
      </w:pPr>
      <w:r>
        <w:t xml:space="preserve">Role</w:t>
      </w:r>
    </w:p>
    <w:p>
      <w:pPr>
        <w:pStyle w:val="FirstParagraph"/>
      </w:pPr>
      <w:r>
        <w:rPr>
          <w:bCs/>
          <w:b/>
        </w:rPr>
        <w:t xml:space="preserve">Title:</w:t>
      </w:r>
      <w:r>
        <w:t xml:space="preserve"> </w:t>
      </w:r>
      <w:r>
        <w:t xml:space="preserve">Co-Founder · CFO</w:t>
      </w:r>
    </w:p>
    <w:p>
      <w:pPr>
        <w:pStyle w:val="BodyText"/>
      </w:pPr>
      <w:r>
        <w:rPr>
          <w:bCs/>
          <w:b/>
        </w:rPr>
        <w:t xml:space="preserve">Scope.</w:t>
      </w:r>
      <w:r>
        <w:t xml:space="preserve"> </w:t>
      </w:r>
      <w:r>
        <w:t xml:space="preserve">You own the money function end-to-end — not staff accounting, but</w:t>
      </w:r>
      <w:r>
        <w:t xml:space="preserve"> </w:t>
      </w:r>
      <w:r>
        <w:t xml:space="preserve">the financial discipline that turns a seed-stage entity into an investable,</w:t>
      </w:r>
      <w:r>
        <w:t xml:space="preserve"> </w:t>
      </w:r>
      <w:r>
        <w:t xml:space="preserve">operable, audit-ready company:</w:t>
      </w:r>
    </w:p>
    <w:p>
      <w:pPr>
        <w:numPr>
          <w:ilvl w:val="0"/>
          <w:numId w:val="1001"/>
        </w:numPr>
        <w:pStyle w:val="Compact"/>
      </w:pPr>
      <w:r>
        <w:t xml:space="preserve">Maintain the cap table and ownership ledger as shares issue, pool grants</w:t>
      </w:r>
      <w:r>
        <w:t xml:space="preserve"> </w:t>
      </w:r>
      <w:r>
        <w:t xml:space="preserve">land, and the seed round closes</w:t>
      </w:r>
    </w:p>
    <w:p>
      <w:pPr>
        <w:numPr>
          <w:ilvl w:val="0"/>
          <w:numId w:val="1001"/>
        </w:numPr>
        <w:pStyle w:val="Compact"/>
      </w:pPr>
      <w:r>
        <w:t xml:space="preserve">Build and run the fundraise data room (historical spend, forward budget,</w:t>
      </w:r>
      <w:r>
        <w:t xml:space="preserve"> </w:t>
      </w:r>
      <w:r>
        <w:t xml:space="preserve">cap table, 409A, governance docs) for investor diligence</w:t>
      </w:r>
    </w:p>
    <w:p>
      <w:pPr>
        <w:numPr>
          <w:ilvl w:val="0"/>
          <w:numId w:val="1001"/>
        </w:numPr>
        <w:pStyle w:val="Compact"/>
      </w:pPr>
      <w:r>
        <w:t xml:space="preserve">Own the budget-to-actuals discipline — $3M seed use-of-funds tracking,</w:t>
      </w:r>
      <w:r>
        <w:t xml:space="preserve"> </w:t>
      </w:r>
      <w:r>
        <w:t xml:space="preserve">monthly burn reporting, runway forecasting</w:t>
      </w:r>
    </w:p>
    <w:p>
      <w:pPr>
        <w:numPr>
          <w:ilvl w:val="0"/>
          <w:numId w:val="1001"/>
        </w:numPr>
        <w:pStyle w:val="Compact"/>
      </w:pPr>
      <w:r>
        <w:t xml:space="preserve">Review term sheets, SAFE/priced-round mechanics, pro-rata provisions, and</w:t>
      </w:r>
      <w:r>
        <w:t xml:space="preserve"> </w:t>
      </w:r>
      <w:r>
        <w:t xml:space="preserve">protective clauses on the company side of every investor conversation</w:t>
      </w:r>
    </w:p>
    <w:p>
      <w:pPr>
        <w:numPr>
          <w:ilvl w:val="0"/>
          <w:numId w:val="1001"/>
        </w:numPr>
        <w:pStyle w:val="Compact"/>
      </w:pPr>
      <w:r>
        <w:t xml:space="preserve">Coordinate the annual 409A valuation and any interim valuations triggered</w:t>
      </w:r>
      <w:r>
        <w:t xml:space="preserve"> </w:t>
      </w:r>
      <w:r>
        <w:t xml:space="preserve">by priced rounds or material events</w:t>
      </w:r>
    </w:p>
    <w:p>
      <w:pPr>
        <w:numPr>
          <w:ilvl w:val="0"/>
          <w:numId w:val="1001"/>
        </w:numPr>
        <w:pStyle w:val="Compact"/>
      </w:pPr>
      <w:r>
        <w:t xml:space="preserve">Liaise with outside counsel, tax advisors, and the accounting firm once</w:t>
      </w:r>
      <w:r>
        <w:t xml:space="preserve"> </w:t>
      </w:r>
      <w:r>
        <w:t xml:space="preserve">engaged; own the fiscal-year-end close</w:t>
      </w:r>
    </w:p>
    <w:p>
      <w:pPr>
        <w:numPr>
          <w:ilvl w:val="0"/>
          <w:numId w:val="1001"/>
        </w:numPr>
        <w:pStyle w:val="Compact"/>
      </w:pPr>
      <w:r>
        <w:t xml:space="preserve">Stand up the operational finance stack — Mercury/Brex account operations,</w:t>
      </w:r>
      <w:r>
        <w:t xml:space="preserve"> </w:t>
      </w:r>
      <w:r>
        <w:t xml:space="preserve">QuickBooks, expense reimbursement policy, Ramp card program when ready</w:t>
      </w:r>
    </w:p>
    <w:p>
      <w:pPr>
        <w:numPr>
          <w:ilvl w:val="0"/>
          <w:numId w:val="1001"/>
        </w:numPr>
        <w:pStyle w:val="Compact"/>
      </w:pPr>
      <w:r>
        <w:t xml:space="preserve">Run investor reporting post-raise — monthly/quarterly updates, KPI</w:t>
      </w:r>
      <w:r>
        <w:t xml:space="preserve"> </w:t>
      </w:r>
      <w:r>
        <w:t xml:space="preserve">dashboards, board financial pre-reads</w:t>
      </w:r>
    </w:p>
    <w:p>
      <w:pPr>
        <w:pStyle w:val="FirstParagraph"/>
      </w:pPr>
      <w:r>
        <w:rPr>
          <w:bCs/>
          <w:b/>
        </w:rPr>
        <w:t xml:space="preserve">Commitment.</w:t>
      </w:r>
      <w:r>
        <w:t xml:space="preserve"> </w:t>
      </w:r>
      <w:r>
        <w:t xml:space="preserve">Part-time while you continue at UBS. We both expect that to</w:t>
      </w:r>
      <w:r>
        <w:t xml:space="preserve"> </w:t>
      </w:r>
      <w:r>
        <w:t xml:space="preserve">remain the structure through the seed round and early build; capacity ramps</w:t>
      </w:r>
      <w:r>
        <w:t xml:space="preserve"> </w:t>
      </w:r>
      <w:r>
        <w:t xml:space="preserve">toward full-time when the company can support the compensation step-down and</w:t>
      </w:r>
      <w:r>
        <w:t xml:space="preserve"> </w:t>
      </w:r>
      <w:r>
        <w:t xml:space="preserve">the role demands it.</w:t>
      </w:r>
    </w:p>
    <w:bookmarkEnd w:id="21"/>
    <w:bookmarkStart w:id="23" w:name="equity"/>
    <w:p>
      <w:pPr>
        <w:pStyle w:val="Heading2"/>
      </w:pPr>
      <w:r>
        <w:t xml:space="preserve">Equity</w:t>
      </w:r>
    </w:p>
    <w:p>
      <w:pPr>
        <w:pStyle w:val="FirstParagraph"/>
      </w:pPr>
      <w:r>
        <w:rPr>
          <w:bCs/>
          <w:b/>
        </w:rPr>
        <w:t xml:space="preserve">5.00% of common stock</w:t>
      </w:r>
      <w:r>
        <w:t xml:space="preserve">, founding-team grant.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Vesting:</w:t>
      </w:r>
      <w:r>
        <w:t xml:space="preserve"> </w:t>
      </w:r>
      <w:r>
        <w:t xml:space="preserve">4-year schedule, 1-year cliff (25% vests at month 12, then</w:t>
      </w:r>
      <w:r>
        <w:t xml:space="preserve"> </w:t>
      </w:r>
      <w:r>
        <w:t xml:space="preserve">monthly thereafter)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Acceleration:</w:t>
      </w:r>
      <w:r>
        <w:t xml:space="preserve"> </w:t>
      </w:r>
      <w:r>
        <w:t xml:space="preserve">Double-trigger on change of control (acquisition +</w:t>
      </w:r>
      <w:r>
        <w:t xml:space="preserve"> </w:t>
      </w:r>
      <w:r>
        <w:t xml:space="preserve">termination without cause within 12 months)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Class:</w:t>
      </w:r>
      <w:r>
        <w:t xml:space="preserve"> </w:t>
      </w:r>
      <w:r>
        <w:t xml:space="preserve">Common stock, issued at formation; 83(b) election to be filed</w:t>
      </w:r>
      <w:r>
        <w:t xml:space="preserve"> </w:t>
      </w:r>
      <w:r>
        <w:t xml:space="preserve">within 30 days of grant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From Mitchell’s founder stake via RSPA (parallel to Luke’s</w:t>
      </w:r>
      <w:r>
        <w:t xml:space="preserve"> </w:t>
      </w:r>
      <w:r>
        <w:t xml:space="preserve">grant — Mitchell’s ownership goes 83% → 78% after this issues)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Dilution:</w:t>
      </w:r>
      <w:r>
        <w:t xml:space="preserve"> </w:t>
      </w:r>
      <w:r>
        <w:t xml:space="preserve">Pari passu with other founders through future rounds</w:t>
      </w:r>
    </w:p>
    <w:bookmarkStart w:id="22" w:name="why-5"/>
    <w:p>
      <w:pPr>
        <w:pStyle w:val="Heading3"/>
      </w:pPr>
      <w:r>
        <w:t xml:space="preserve">Why 5%</w:t>
      </w:r>
    </w:p>
    <w:p>
      <w:pPr>
        <w:pStyle w:val="FirstParagraph"/>
      </w:pPr>
      <w:r>
        <w:t xml:space="preserve">Parallel to Luke’s founding-team grant — family-equal split across the two</w:t>
      </w:r>
      <w:r>
        <w:t xml:space="preserve"> </w:t>
      </w:r>
      <w:r>
        <w:t xml:space="preserve">co-founder roles. Specific reasoning for the 5% band:</w:t>
      </w:r>
    </w:p>
    <w:p>
      <w:pPr>
        <w:numPr>
          <w:ilvl w:val="0"/>
          <w:numId w:val="1003"/>
        </w:numPr>
        <w:pStyle w:val="Compact"/>
      </w:pPr>
      <w:r>
        <w:t xml:space="preserve">You own a function I cannot self-staff — running a pre-seed raise</w:t>
      </w:r>
      <w:r>
        <w:t xml:space="preserve"> </w:t>
      </w:r>
      <w:r>
        <w:t xml:space="preserve">without a finance lead is the fastest way to sign a bad term sheet or</w:t>
      </w:r>
      <w:r>
        <w:t xml:space="preserve"> </w:t>
      </w:r>
      <w:r>
        <w:t xml:space="preserve">blow out the cap table. You remove that risk.</w:t>
      </w:r>
    </w:p>
    <w:p>
      <w:pPr>
        <w:numPr>
          <w:ilvl w:val="0"/>
          <w:numId w:val="1003"/>
        </w:numPr>
        <w:pStyle w:val="Compact"/>
      </w:pPr>
      <w:r>
        <w:t xml:space="preserve">Your UBS track record — 9 years, Analyst → Executive Director in Real</w:t>
      </w:r>
      <w:r>
        <w:t xml:space="preserve"> </w:t>
      </w:r>
      <w:r>
        <w:t xml:space="preserve">Estate Finance — is a credibility signal on the team slide that</w:t>
      </w:r>
      <w:r>
        <w:t xml:space="preserve"> </w:t>
      </w:r>
      <w:r>
        <w:t xml:space="preserve">investors read immediately. It changes how seriously our numbers get</w:t>
      </w:r>
      <w:r>
        <w:t xml:space="preserve"> </w:t>
      </w:r>
      <w:r>
        <w:t xml:space="preserve">taken.</w:t>
      </w:r>
    </w:p>
    <w:p>
      <w:pPr>
        <w:numPr>
          <w:ilvl w:val="0"/>
          <w:numId w:val="1003"/>
        </w:numPr>
        <w:pStyle w:val="Compact"/>
      </w:pPr>
      <w:r>
        <w:t xml:space="preserve">Your Wharton economics + entrepreneurship foundation plus a decade of</w:t>
      </w:r>
      <w:r>
        <w:t xml:space="preserve"> </w:t>
      </w:r>
      <w:r>
        <w:t xml:space="preserve">institutional capital-markets work is the exact shape of experience a</w:t>
      </w:r>
      <w:r>
        <w:t xml:space="preserve"> </w:t>
      </w:r>
      <w:r>
        <w:t xml:space="preserve">seed-to-Series-A CFO needs.</w:t>
      </w:r>
    </w:p>
    <w:p>
      <w:pPr>
        <w:numPr>
          <w:ilvl w:val="0"/>
          <w:numId w:val="1003"/>
        </w:numPr>
        <w:pStyle w:val="Compact"/>
      </w:pPr>
      <w:r>
        <w:t xml:space="preserve">Family-trust premium — we’re brothers. The alignment runs deeper than</w:t>
      </w:r>
      <w:r>
        <w:t xml:space="preserve"> </w:t>
      </w:r>
      <w:r>
        <w:t xml:space="preserve">any comp structure could capture.</w:t>
      </w:r>
    </w:p>
    <w:p>
      <w:pPr>
        <w:pStyle w:val="FirstParagraph"/>
      </w:pPr>
      <w:r>
        <w:t xml:space="preserve">5% matches Luke’s grant and puts the founding team on symmetric footing.</w:t>
      </w:r>
    </w:p>
    <w:bookmarkEnd w:id="22"/>
    <w:bookmarkEnd w:id="23"/>
    <w:bookmarkStart w:id="24" w:name="structure"/>
    <w:p>
      <w:pPr>
        <w:pStyle w:val="Heading2"/>
      </w:pPr>
      <w:r>
        <w:t xml:space="preserve">Structure</w:t>
      </w:r>
    </w:p>
    <w:p>
      <w:pPr>
        <w:numPr>
          <w:ilvl w:val="0"/>
          <w:numId w:val="1004"/>
        </w:numPr>
        <w:pStyle w:val="Compact"/>
      </w:pPr>
      <w:r>
        <w:t xml:space="preserve">Parent holdco in</w:t>
      </w:r>
      <w:r>
        <w:t xml:space="preserve"> </w:t>
      </w:r>
      <w:r>
        <w:rPr>
          <w:bCs/>
          <w:b/>
        </w:rPr>
        <w:t xml:space="preserve">Delaware or Wyoming</w:t>
      </w:r>
      <w:r>
        <w:t xml:space="preserve"> </w:t>
      </w:r>
      <w:r>
        <w:t xml:space="preserve">(decide at first board meeting —</w:t>
      </w:r>
      <w:r>
        <w:t xml:space="preserve"> </w:t>
      </w:r>
      <w:r>
        <w:t xml:space="preserve">your read from the finance/tax lens weighed in)</w:t>
      </w:r>
    </w:p>
    <w:p>
      <w:pPr>
        <w:numPr>
          <w:ilvl w:val="0"/>
          <w:numId w:val="1004"/>
        </w:numPr>
        <w:pStyle w:val="Compact"/>
      </w:pPr>
      <w:r>
        <w:t xml:space="preserve">Holdco owns the IP/data entity and the operating/manufacturing entity</w:t>
      </w:r>
    </w:p>
    <w:p>
      <w:pPr>
        <w:numPr>
          <w:ilvl w:val="0"/>
          <w:numId w:val="1004"/>
        </w:numPr>
        <w:pStyle w:val="Compact"/>
      </w:pPr>
      <w:r>
        <w:t xml:space="preserve">Outside investors buy into the operating entity; family retains majority</w:t>
      </w:r>
      <w:r>
        <w:t xml:space="preserve"> </w:t>
      </w:r>
      <w:r>
        <w:t xml:space="preserve">control at the holdco level</w:t>
      </w:r>
    </w:p>
    <w:p>
      <w:pPr>
        <w:numPr>
          <w:ilvl w:val="0"/>
          <w:numId w:val="1004"/>
        </w:numPr>
        <w:pStyle w:val="Compact"/>
      </w:pPr>
      <w:r>
        <w:t xml:space="preserve">Your 5% is at the holdco level so you share in every downstream entity</w:t>
      </w:r>
    </w:p>
    <w:bookmarkEnd w:id="24"/>
    <w:bookmarkStart w:id="25" w:name="deliverables-for-the-first-board-meeting"/>
    <w:p>
      <w:pPr>
        <w:pStyle w:val="Heading2"/>
      </w:pPr>
      <w:r>
        <w:t xml:space="preserve">Deliverables for the First Board Meeting</w:t>
      </w:r>
    </w:p>
    <w:p>
      <w:pPr>
        <w:pStyle w:val="FirstParagraph"/>
      </w:pPr>
      <w:r>
        <w:t xml:space="preserve">From you, before end of April:</w:t>
      </w:r>
    </w:p>
    <w:p>
      <w:pPr>
        <w:numPr>
          <w:ilvl w:val="0"/>
          <w:numId w:val="1005"/>
        </w:numPr>
        <w:pStyle w:val="Compact"/>
      </w:pPr>
      <w:r>
        <w:t xml:space="preserve">Updated bio for the team slide (one paragraph, investor-facing)</w:t>
      </w:r>
    </w:p>
    <w:p>
      <w:pPr>
        <w:numPr>
          <w:ilvl w:val="0"/>
          <w:numId w:val="1005"/>
        </w:numPr>
        <w:pStyle w:val="Compact"/>
      </w:pPr>
      <w:r>
        <w:t xml:space="preserve">First-pass $3M use-of-funds model — 18-month runway, monthly burn,</w:t>
      </w:r>
      <w:r>
        <w:t xml:space="preserve"> </w:t>
      </w:r>
      <w:r>
        <w:t xml:space="preserve">category split mapped to the priorities in CLAUDE.md</w:t>
      </w:r>
    </w:p>
    <w:p>
      <w:pPr>
        <w:numPr>
          <w:ilvl w:val="0"/>
          <w:numId w:val="1005"/>
        </w:numPr>
        <w:pStyle w:val="Compact"/>
      </w:pPr>
      <w:r>
        <w:t xml:space="preserve">Your read on Delaware vs. Wyoming for the parent entity — tax, franchise,</w:t>
      </w:r>
      <w:r>
        <w:t xml:space="preserve"> </w:t>
      </w:r>
      <w:r>
        <w:t xml:space="preserve">governance tradeoffs</w:t>
      </w:r>
    </w:p>
    <w:p>
      <w:pPr>
        <w:numPr>
          <w:ilvl w:val="0"/>
          <w:numId w:val="1005"/>
        </w:numPr>
        <w:pStyle w:val="Compact"/>
      </w:pPr>
      <w:r>
        <w:t xml:space="preserve">Data-room folder structure for investor diligence (skeleton only — we’ll</w:t>
      </w:r>
      <w:r>
        <w:t xml:space="preserve"> </w:t>
      </w:r>
      <w:r>
        <w:t xml:space="preserve">populate as docs come together)</w:t>
      </w:r>
    </w:p>
    <w:p>
      <w:pPr>
        <w:pStyle w:val="FirstParagraph"/>
      </w:pPr>
      <w:r>
        <w:t xml:space="preserve">From me:</w:t>
      </w:r>
    </w:p>
    <w:p>
      <w:pPr>
        <w:numPr>
          <w:ilvl w:val="0"/>
          <w:numId w:val="1006"/>
        </w:numPr>
        <w:pStyle w:val="Compact"/>
      </w:pPr>
      <w:r>
        <w:t xml:space="preserve">This memo, countersigned</w:t>
      </w:r>
    </w:p>
    <w:p>
      <w:pPr>
        <w:numPr>
          <w:ilvl w:val="0"/>
          <w:numId w:val="1006"/>
        </w:numPr>
        <w:pStyle w:val="Compact"/>
      </w:pPr>
      <w:r>
        <w:t xml:space="preserve">Draft equity grant agreement and vesting schedule (via counsel)</w:t>
      </w:r>
    </w:p>
    <w:p>
      <w:pPr>
        <w:numPr>
          <w:ilvl w:val="0"/>
          <w:numId w:val="1006"/>
        </w:numPr>
        <w:pStyle w:val="Compact"/>
      </w:pPr>
      <w:r>
        <w:t xml:space="preserve">Cap table showing the 5% grant (updates</w:t>
      </w:r>
      <w:r>
        <w:t xml:space="preserve"> </w:t>
      </w:r>
      <w:r>
        <w:rPr>
          <w:rStyle w:val="VerbatimChar"/>
        </w:rPr>
        <w:t xml:space="preserve">private/company-formation.md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Pre-read deck for the meeting</w:t>
      </w:r>
    </w:p>
    <w:bookmarkEnd w:id="25"/>
    <w:bookmarkStart w:id="26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7"/>
        </w:numPr>
        <w:pStyle w:val="Compact"/>
      </w:pPr>
      <w:r>
        <w:t xml:space="preserve">You read this and come back with edits</w:t>
      </w:r>
    </w:p>
    <w:p>
      <w:pPr>
        <w:numPr>
          <w:ilvl w:val="0"/>
          <w:numId w:val="1007"/>
        </w:numPr>
        <w:pStyle w:val="Compact"/>
      </w:pPr>
      <w:r>
        <w:t xml:space="preserve">We lock terms in the first board meeting (target: Sunday, late April)</w:t>
      </w:r>
    </w:p>
    <w:p>
      <w:pPr>
        <w:numPr>
          <w:ilvl w:val="0"/>
          <w:numId w:val="1007"/>
        </w:numPr>
        <w:pStyle w:val="Compact"/>
      </w:pPr>
      <w:r>
        <w:t xml:space="preserve">Counsel drafts paperwork the week after</w:t>
      </w:r>
    </w:p>
    <w:p>
      <w:pPr>
        <w:numPr>
          <w:ilvl w:val="0"/>
          <w:numId w:val="1007"/>
        </w:numPr>
        <w:pStyle w:val="Compact"/>
      </w:pPr>
      <w:r>
        <w:t xml:space="preserve">You sign and file 83(b) within 30 days of grant</w:t>
      </w:r>
    </w:p>
    <w:p>
      <w:pPr>
        <w:numPr>
          <w:ilvl w:val="0"/>
          <w:numId w:val="1007"/>
        </w:numPr>
        <w:pStyle w:val="Compact"/>
      </w:pPr>
      <w:r>
        <w:t xml:space="preserve">Team slide goes live with your title in the next pitch update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Push back on anything. This is a starting point, not a position.</w:t>
      </w:r>
    </w:p>
    <w:p>
      <w:pPr>
        <w:pStyle w:val="BodyText"/>
      </w:pPr>
      <w:r>
        <w:t xml:space="preserve">— Mitchell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2026-04-23T19:53:30Z</dcterms:created>
  <dcterms:modified xsi:type="dcterms:W3CDTF">2026-04-23T19:53:30Z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