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Modulor, Inc. — Finances</w:t>
      </w:r>
      <w:r/>
    </w:p>
    <w:p>
      <w:r/>
      <w:r>
        <w:t xml:space="preserve">Single source of truth for company spend, recurring costs, the $3M seed budget model, and burn projection. </w:t>
      </w:r>
      <w:r>
        <w:rPr>
          <w:b/>
        </w:rPr>
        <w:t>Last updated: Apr 27, 2026.</w:t>
      </w:r>
      <w:r>
        <w:t xml:space="preserve"> Spreadsheets live at </w:t>
      </w:r>
      <w:r>
        <w:rPr>
          <w:rFonts w:ascii="Courier" w:hAnsi="Courier"/>
        </w:rPr>
        <w:t>build/drive-upload/01_Finances/</w:t>
      </w:r>
      <w:r>
        <w:t xml:space="preserve"> (regenerate via </w:t>
      </w:r>
      <w:r>
        <w:rPr>
          <w:rFonts w:ascii="Courier" w:hAnsi="Courier"/>
        </w:rPr>
        <w:t>python scripts/build_finance_models.py</w:t>
      </w:r>
      <w:r>
        <w:t>).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Snapshot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Cash on hand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$0 in company account</w:t>
            </w:r>
          </w:p>
        </w:tc>
        <w:tc>
          <w:tcPr>
            <w:tcW w:type="dxa" w:w="2880"/>
          </w:tcPr>
          <w:p>
            <w:r>
              <w:t>Mercury application submitted Apr 24, awaiting approval</w:t>
            </w:r>
          </w:p>
        </w:tc>
      </w:tr>
      <w:tr>
        <w:tc>
          <w:tcPr>
            <w:tcW w:type="dxa" w:w="2880"/>
          </w:tcPr>
          <w:p>
            <w:r>
              <w:t>Founder Amex outstanding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$1,088.00</w:t>
            </w:r>
          </w:p>
        </w:tc>
        <w:tc>
          <w:tcPr>
            <w:tcW w:type="dxa" w:w="2880"/>
          </w:tcPr>
          <w:p>
            <w:r>
              <w:t>Reimburse from Modulor account once Mercury opens</w:t>
            </w:r>
          </w:p>
        </w:tc>
      </w:tr>
      <w:tr>
        <w:tc>
          <w:tcPr>
            <w:tcW w:type="dxa" w:w="2880"/>
          </w:tcPr>
          <w:p>
            <w:r>
              <w:t>Monthly burn (pre-funding)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~$50</w:t>
            </w:r>
          </w:p>
        </w:tc>
        <w:tc>
          <w:tcPr>
            <w:tcW w:type="dxa" w:w="2880"/>
          </w:tcPr>
          <w:p>
            <w:r>
              <w:t>Workspace seat + domain only; everything else is founder-funded one-shots</w:t>
            </w:r>
          </w:p>
        </w:tc>
      </w:tr>
      <w:tr>
        <w:tc>
          <w:tcPr>
            <w:tcW w:type="dxa" w:w="2880"/>
          </w:tcPr>
          <w:p>
            <w:r>
              <w:t>Cash needed before close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~$3,500</w:t>
            </w:r>
          </w:p>
        </w:tc>
        <w:tc>
          <w:tcPr>
            <w:tcW w:type="dxa" w:w="2880"/>
          </w:tcPr>
          <w:p>
            <w:r>
              <w:t>Trademark filing + counsel retainer + D&amp;O quote (see below)</w:t>
            </w:r>
          </w:p>
        </w:tc>
      </w:tr>
      <w:tr>
        <w:tc>
          <w:tcPr>
            <w:tcW w:type="dxa" w:w="2880"/>
          </w:tcPr>
          <w:p>
            <w:r>
              <w:t>Target raise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$3,000,000</w:t>
            </w:r>
          </w:p>
        </w:tc>
        <w:tc>
          <w:tcPr>
            <w:tcW w:type="dxa" w:w="2880"/>
          </w:tcPr>
          <w:p>
            <w:r>
              <w:t>YC post-money SAFE, target close Q3 2026</w:t>
            </w:r>
          </w:p>
        </w:tc>
      </w:tr>
      <w:tr>
        <w:tc>
          <w:tcPr>
            <w:tcW w:type="dxa" w:w="2880"/>
          </w:tcPr>
          <w:p>
            <w:r>
              <w:t>Target runway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30 months</w:t>
            </w:r>
          </w:p>
        </w:tc>
        <w:tc>
          <w:tcPr>
            <w:tcW w:type="dxa" w:w="2880"/>
          </w:tcPr>
          <w:p>
            <w:r>
              <w:t>$3M / $100K avg monthly burn post-funding</w:t>
            </w:r>
          </w:p>
        </w:tc>
      </w:tr>
      <w:tr>
        <w:tc>
          <w:tcPr>
            <w:tcW w:type="dxa" w:w="2880"/>
          </w:tcPr>
          <w:p>
            <w:r>
              <w:t>Patent deadline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Apr 15, 2027</w:t>
            </w:r>
          </w:p>
        </w:tc>
        <w:tc>
          <w:tcPr>
            <w:tcW w:type="dxa" w:w="2880"/>
          </w:tcPr>
          <w:p>
            <w:r>
              <w:t>VITR-001 non-provisional conversion — 12-month hard window</w:t>
            </w:r>
          </w:p>
        </w:tc>
      </w:tr>
    </w:tbl>
    <w:p>
      <w:r/>
    </w:p>
    <w:p>
      <w:pPr>
        <w:pStyle w:val="Heading2"/>
      </w:pPr>
      <w:r>
        <w:t>One-Time Formation Costs (closed)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Apr 20, 2026</w:t>
            </w:r>
          </w:p>
        </w:tc>
        <w:tc>
          <w:tcPr>
            <w:tcW w:type="dxa" w:w="1728"/>
          </w:tcPr>
          <w:p>
            <w:r>
              <w:t>Stripe Atlas formation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$500.00</w:t>
            </w:r>
          </w:p>
        </w:tc>
        <w:tc>
          <w:tcPr>
            <w:tcW w:type="dxa" w:w="1728"/>
          </w:tcPr>
          <w:p>
            <w:r>
              <w:t>✅ Paid (founder Amex)</w:t>
            </w:r>
          </w:p>
        </w:tc>
        <w:tc>
          <w:tcPr>
            <w:tcW w:type="dxa" w:w="1728"/>
          </w:tcPr>
          <w:p>
            <w:r>
              <w:t>Incl. DE incorporation, state filing, EIN sponsorship, Stripe credits, partner discounts</w:t>
            </w:r>
          </w:p>
        </w:tc>
      </w:tr>
      <w:tr>
        <w:tc>
          <w:tcPr>
            <w:tcW w:type="dxa" w:w="1728"/>
          </w:tcPr>
          <w:p>
            <w:r>
              <w:t>Apr 20, 2026</w:t>
            </w:r>
          </w:p>
        </w:tc>
        <w:tc>
          <w:tcPr>
            <w:tcW w:type="dxa" w:w="1728"/>
          </w:tcPr>
          <w:p>
            <w:r>
              <w:t>Stable virtual address (annual)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$588.00</w:t>
            </w:r>
          </w:p>
        </w:tc>
        <w:tc>
          <w:tcPr>
            <w:tcW w:type="dxa" w:w="1728"/>
          </w:tcPr>
          <w:p>
            <w:r>
              <w:t>✅ Paid (founder Amex)</w:t>
            </w:r>
          </w:p>
        </w:tc>
        <w:tc>
          <w:tcPr>
            <w:tcW w:type="dxa" w:w="1728"/>
          </w:tcPr>
          <w:p>
            <w:r>
              <w:t>1111B S Governors Ave STE 27384, Dover DE — covers Yr 1; renews Apr 2027</w:t>
            </w:r>
          </w:p>
        </w:tc>
      </w:tr>
    </w:tbl>
    <w:p>
      <w:r/>
    </w:p>
    <w:p>
      <w:r/>
      <w:r>
        <w:rPr>
          <w:b/>
        </w:rPr>
        <w:t>Closed total: $1,088.00</w:t>
      </w:r>
      <w:r>
        <w:t xml:space="preserve"> — reimburse to Mitchell from Modulor Mercury once funded.</w:t>
      </w:r>
      <w:r/>
    </w:p>
    <w:p>
      <w:pPr>
        <w:pStyle w:val="Heading2"/>
      </w:pPr>
      <w:r>
        <w:t>One-Time Costs (open / pending)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cost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160"/>
          </w:tcPr>
          <w:p>
            <w:r>
              <w:t>USPTO trademark filing — "Modulor" (Classes 9, 10, 41)</w:t>
            </w:r>
          </w:p>
        </w:tc>
        <w:tc>
          <w:tcPr>
            <w:tcW w:type="dxa" w:w="2160"/>
          </w:tcPr>
          <w:p>
            <w:r>
              <w:t>$700–1,050 self-file (TEAS Plus) · or $1,500–2,500 w/ counsel</w:t>
            </w:r>
          </w:p>
        </w:tc>
        <w:tc>
          <w:tcPr>
            <w:tcW w:type="dxa" w:w="2160"/>
          </w:tcPr>
          <w:p>
            <w:r>
              <w:t>Not filed</w:t>
            </w:r>
          </w:p>
        </w:tc>
        <w:tc>
          <w:tcPr>
            <w:tcW w:type="dxa" w:w="2160"/>
          </w:tcPr>
          <w:p>
            <w:r>
              <w:t>Pre-seed close</w:t>
            </w:r>
          </w:p>
        </w:tc>
      </w:tr>
      <w:tr>
        <w:tc>
          <w:tcPr>
            <w:tcW w:type="dxa" w:w="2160"/>
          </w:tcPr>
          <w:p>
            <w:r>
              <w:t>VITR-001 provisional → non-provisional conversion</w:t>
            </w:r>
          </w:p>
        </w:tc>
        <w:tc>
          <w:tcPr>
            <w:tcW w:type="dxa" w:w="2160"/>
          </w:tcPr>
          <w:p>
            <w:r>
              <w:t>$5,000–15,000</w:t>
            </w:r>
          </w:p>
        </w:tc>
        <w:tc>
          <w:tcPr>
            <w:tcW w:type="dxa" w:w="2160"/>
          </w:tcPr>
          <w:p>
            <w:r>
              <w:t>Not filed</w:t>
            </w:r>
          </w:p>
        </w:tc>
        <w:tc>
          <w:tcPr>
            <w:tcW w:type="dxa" w:w="2160"/>
          </w:tcPr>
          <w:p>
            <w:r>
              <w:t xml:space="preserve">Hard deadline </w:t>
            </w:r>
            <w:r>
              <w:rPr>
                <w:b/>
              </w:rPr>
              <w:t>Apr 15, 2027</w:t>
            </w:r>
          </w:p>
        </w:tc>
      </w:tr>
      <w:tr>
        <w:tc>
          <w:tcPr>
            <w:tcW w:type="dxa" w:w="2160"/>
          </w:tcPr>
          <w:p>
            <w:r>
              <w:t>D&amp;O insurance, Year 1</w:t>
            </w:r>
          </w:p>
        </w:tc>
        <w:tc>
          <w:tcPr>
            <w:tcW w:type="dxa" w:w="2160"/>
          </w:tcPr>
          <w:p>
            <w:r>
              <w:t>$1,500–3,000</w:t>
            </w:r>
          </w:p>
        </w:tc>
        <w:tc>
          <w:tcPr>
            <w:tcW w:type="dxa" w:w="2160"/>
          </w:tcPr>
          <w:p>
            <w:r>
              <w:t>Not quoted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 before first investor check</w:t>
            </w:r>
          </w:p>
        </w:tc>
      </w:tr>
      <w:tr>
        <w:tc>
          <w:tcPr>
            <w:tcW w:type="dxa" w:w="2160"/>
          </w:tcPr>
          <w:p>
            <w:r>
              <w:t>Outside counsel retainer (Atlas Plus partner firm — Cooley/Orrick/Gunderson)</w:t>
            </w:r>
          </w:p>
        </w:tc>
        <w:tc>
          <w:tcPr>
            <w:tcW w:type="dxa" w:w="2160"/>
          </w:tcPr>
          <w:p>
            <w:r>
              <w:t>$500/yr Atlas Plus + $2,000–5,000 RSPA + 83(b) package</w:t>
            </w:r>
          </w:p>
        </w:tc>
        <w:tc>
          <w:tcPr>
            <w:tcW w:type="dxa" w:w="2160"/>
          </w:tcPr>
          <w:p>
            <w:r>
              <w:t>Atlas Plus to upgrade Mon Apr 27 AM</w:t>
            </w:r>
          </w:p>
        </w:tc>
        <w:tc>
          <w:tcPr>
            <w:tcW w:type="dxa" w:w="2160"/>
          </w:tcPr>
          <w:p>
            <w:r>
              <w:t>This week</w:t>
            </w:r>
          </w:p>
        </w:tc>
      </w:tr>
      <w:tr>
        <w:tc>
          <w:tcPr>
            <w:tcW w:type="dxa" w:w="2160"/>
          </w:tcPr>
          <w:p>
            <w:r>
              <w:t>Patent assignment Mitchell → Modulor, Inc.</w:t>
            </w:r>
          </w:p>
        </w:tc>
        <w:tc>
          <w:tcPr>
            <w:tcW w:type="dxa" w:w="2160"/>
          </w:tcPr>
          <w:p>
            <w:r>
              <w:t>counsel-included or $500 standalone</w:t>
            </w:r>
          </w:p>
        </w:tc>
        <w:tc>
          <w:tcPr>
            <w:tcW w:type="dxa" w:w="2160"/>
          </w:tcPr>
          <w:p>
            <w:r>
              <w:t>Drafting</w:t>
            </w:r>
          </w:p>
        </w:tc>
        <w:tc>
          <w:tcPr>
            <w:tcW w:type="dxa" w:w="2160"/>
          </w:tcPr>
          <w:p>
            <w:r>
              <w:t>Same package as RSPA</w:t>
            </w:r>
          </w:p>
        </w:tc>
      </w:tr>
      <w:tr>
        <w:tc>
          <w:tcPr>
            <w:tcW w:type="dxa" w:w="2160"/>
          </w:tcPr>
          <w:p>
            <w:r>
              <w:t>Mutual NDA template + execution (Adam first, vendors next)</w:t>
            </w:r>
          </w:p>
        </w:tc>
        <w:tc>
          <w:tcPr>
            <w:tcW w:type="dxa" w:w="2160"/>
          </w:tcPr>
          <w:p>
            <w:r>
              <w:t>counsel-included</w:t>
            </w:r>
          </w:p>
        </w:tc>
        <w:tc>
          <w:tcPr>
            <w:tcW w:type="dxa" w:w="2160"/>
          </w:tcPr>
          <w:p>
            <w:r>
              <w:t>Drafted Apr 25</w:t>
            </w:r>
          </w:p>
        </w:tc>
        <w:tc>
          <w:tcPr>
            <w:tcW w:type="dxa" w:w="2160"/>
          </w:tcPr>
          <w:p>
            <w:r>
              <w:t>DocuSign send this week</w:t>
            </w:r>
          </w:p>
        </w:tc>
      </w:tr>
    </w:tbl>
    <w:p>
      <w:r/>
    </w:p>
    <w:p>
      <w:r/>
      <w:r>
        <w:rPr>
          <w:b/>
        </w:rPr>
        <w:t>Pre-funding cash need: ~$3,500–4,500</w:t>
      </w:r>
      <w:r>
        <w:t xml:space="preserve"> to cover trademark + counsel retainer + D&amp;O quote so the round closes clean. Founder Amex carries the rest.</w:t>
      </w:r>
      <w:r/>
    </w:p>
    <w:p>
      <w:pPr>
        <w:pStyle w:val="Heading2"/>
      </w:pPr>
      <w:r>
        <w:t>Annual Recurring Costs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Cadence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Stable virtual business address</w:t>
            </w:r>
          </w:p>
        </w:tc>
        <w:tc>
          <w:tcPr>
            <w:tcW w:type="dxa" w:w="2160"/>
          </w:tcPr>
          <w:p>
            <w:r>
              <w:t>$588/yr</w:t>
            </w:r>
          </w:p>
        </w:tc>
        <w:tc>
          <w:tcPr>
            <w:tcW w:type="dxa" w:w="2160"/>
          </w:tcPr>
          <w:p>
            <w:r>
              <w:t>Annual</w:t>
            </w:r>
          </w:p>
        </w:tc>
        <w:tc>
          <w:tcPr>
            <w:tcW w:type="dxa" w:w="2160"/>
          </w:tcPr>
          <w:p>
            <w:r>
              <w:t>Renews Apr 2027</w:t>
            </w:r>
          </w:p>
        </w:tc>
      </w:tr>
      <w:tr>
        <w:tc>
          <w:tcPr>
            <w:tcW w:type="dxa" w:w="2160"/>
          </w:tcPr>
          <w:p>
            <w:r>
              <w:t>Delaware franchise tax</w:t>
            </w:r>
          </w:p>
        </w:tc>
        <w:tc>
          <w:tcPr>
            <w:tcW w:type="dxa" w:w="2160"/>
          </w:tcPr>
          <w:p>
            <w:r>
              <w:t>~$400 (minimum filing)</w:t>
            </w:r>
          </w:p>
        </w:tc>
        <w:tc>
          <w:tcPr>
            <w:tcW w:type="dxa" w:w="2160"/>
          </w:tcPr>
          <w:p>
            <w:r>
              <w:t>Annual, Mar 1</w:t>
            </w:r>
          </w:p>
        </w:tc>
        <w:tc>
          <w:tcPr>
            <w:tcW w:type="dxa" w:w="2160"/>
          </w:tcPr>
          <w:p>
            <w:r>
              <w:t xml:space="preserve">First filing </w:t>
            </w:r>
            <w:r>
              <w:rPr>
                <w:b/>
              </w:rPr>
              <w:t>Mar 1, 2027</w:t>
            </w:r>
          </w:p>
        </w:tc>
      </w:tr>
      <w:tr>
        <w:tc>
          <w:tcPr>
            <w:tcW w:type="dxa" w:w="2160"/>
          </w:tcPr>
          <w:p>
            <w:r>
              <w:t>DE registered agent (Legalinc)</w:t>
            </w:r>
          </w:p>
        </w:tc>
        <w:tc>
          <w:tcPr>
            <w:tcW w:type="dxa" w:w="2160"/>
          </w:tcPr>
          <w:p>
            <w:r>
              <w:t>$0 Yr 1, $100/yr Yr 2+</w:t>
            </w:r>
          </w:p>
        </w:tc>
        <w:tc>
          <w:tcPr>
            <w:tcW w:type="dxa" w:w="2160"/>
          </w:tcPr>
          <w:p>
            <w:r>
              <w:t>Annual</w:t>
            </w:r>
          </w:p>
        </w:tc>
        <w:tc>
          <w:tcPr>
            <w:tcW w:type="dxa" w:w="2160"/>
          </w:tcPr>
          <w:p>
            <w:r>
              <w:t>Bundled w/ Atlas Yr 1</w:t>
            </w:r>
          </w:p>
        </w:tc>
      </w:tr>
      <w:tr>
        <w:tc>
          <w:tcPr>
            <w:tcW w:type="dxa" w:w="2160"/>
          </w:tcPr>
          <w:p>
            <w:r>
              <w:t>Google Workspace (per seat)</w:t>
            </w:r>
          </w:p>
        </w:tc>
        <w:tc>
          <w:tcPr>
            <w:tcW w:type="dxa" w:w="2160"/>
          </w:tcPr>
          <w:p>
            <w:r>
              <w:t>$7–14/user/mo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Mitchell + Luke active; Adam joins post-FAST execution</w:t>
            </w:r>
          </w:p>
        </w:tc>
      </w:tr>
      <w:tr>
        <w:tc>
          <w:tcPr>
            <w:tcW w:type="dxa" w:w="2160"/>
          </w:tcPr>
          <w:p>
            <w:r>
              <w:t>Domain (modulor.bio)</w:t>
            </w:r>
          </w:p>
        </w:tc>
        <w:tc>
          <w:tcPr>
            <w:tcW w:type="dxa" w:w="2160"/>
          </w:tcPr>
          <w:p>
            <w:r>
              <w:t>~$80/yr</w:t>
            </w:r>
          </w:p>
        </w:tc>
        <w:tc>
          <w:tcPr>
            <w:tcW w:type="dxa" w:w="2160"/>
          </w:tcPr>
          <w:p>
            <w:r>
              <w:t>Annual</w:t>
            </w:r>
          </w:p>
        </w:tc>
        <w:tc>
          <w:tcPr>
            <w:tcW w:type="dxa" w:w="2160"/>
          </w:tcPr>
          <w:p>
            <w:r>
              <w:t>Vercel auto-renew</w:t>
            </w:r>
          </w:p>
        </w:tc>
      </w:tr>
      <w:tr>
        <w:tc>
          <w:tcPr>
            <w:tcW w:type="dxa" w:w="2160"/>
          </w:tcPr>
          <w:p>
            <w:r>
              <w:t>Slack (Pro tier, 2 seats)</w:t>
            </w:r>
          </w:p>
        </w:tc>
        <w:tc>
          <w:tcPr>
            <w:tcW w:type="dxa" w:w="2160"/>
          </w:tcPr>
          <w:p>
            <w:r>
              <w:t>~$17/mo (~$200/yr)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Spinning up Apr 27 — was Let Fly account, separate workspace for Modulor</w:t>
            </w:r>
          </w:p>
        </w:tc>
      </w:tr>
      <w:tr>
        <w:tc>
          <w:tcPr>
            <w:tcW w:type="dxa" w:w="2160"/>
          </w:tcPr>
          <w:p>
            <w:r>
              <w:t>Vercel (hosting, hobby tier)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Free tier covers traffic; upgrade to Pro at scale</w:t>
            </w:r>
          </w:p>
        </w:tc>
      </w:tr>
      <w:tr>
        <w:tc>
          <w:tcPr>
            <w:tcW w:type="dxa" w:w="2160"/>
          </w:tcPr>
          <w:p>
            <w:r>
              <w:t>QuickBooks Online</w:t>
            </w:r>
          </w:p>
        </w:tc>
        <w:tc>
          <w:tcPr>
            <w:tcW w:type="dxa" w:w="2160"/>
          </w:tcPr>
          <w:p>
            <w:r>
              <w:t>~$30/mo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Defer</w:t>
            </w:r>
            <w:r>
              <w:t xml:space="preserve"> until first invoice or fractional CFO onboards</w:t>
            </w:r>
          </w:p>
        </w:tc>
      </w:tr>
      <w:tr>
        <w:tc>
          <w:tcPr>
            <w:tcW w:type="dxa" w:w="2160"/>
          </w:tcPr>
          <w:p>
            <w:r>
              <w:t>NJ foreign qualification</w:t>
            </w:r>
          </w:p>
        </w:tc>
        <w:tc>
          <w:tcPr>
            <w:tcW w:type="dxa" w:w="2160"/>
          </w:tcPr>
          <w:p>
            <w:r>
              <w:t>$125 init + $75/yr</w:t>
            </w:r>
          </w:p>
        </w:tc>
        <w:tc>
          <w:tcPr>
            <w:tcW w:type="dxa" w:w="2160"/>
          </w:tcPr>
          <w:p>
            <w:r>
              <w:t>Annual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Only if Modulor operates from NJ</w:t>
            </w:r>
            <w:r>
              <w:t xml:space="preserve"> — defer decision</w:t>
            </w:r>
          </w:p>
        </w:tc>
      </w:tr>
    </w:tbl>
    <w:p>
      <w:r/>
    </w:p>
    <w:p>
      <w:r/>
      <w:r>
        <w:rPr>
          <w:b/>
        </w:rPr>
        <w:t>Year-1 baseline (Mitchell + Luke active, no QuickBooks): ~$1,800</w:t>
      </w:r>
      <w:r/>
      <w:r>
        <w:rPr>
          <w:b/>
        </w:rPr>
        <w:t>Year-2+ baseline (3 active seats, registered agent renewal, franchise tax): ~$2,500</w:t>
      </w:r>
      <w:r/>
    </w:p>
    <w:p>
      <w:pPr>
        <w:pStyle w:val="Heading2"/>
      </w:pPr>
      <w:r>
        <w:t>Seed Raise — $3M Use of Funds (target close Q3 2026)</w:t>
      </w:r>
      <w:r/>
    </w:p>
    <w:p>
      <w:r/>
      <w:r>
        <w:t xml:space="preserve">Allocation per CLAUDE.md priorities. Spreadsheet: </w:t>
      </w:r>
      <w:r>
        <w:rPr>
          <w:rFonts w:ascii="Courier" w:hAnsi="Courier"/>
        </w:rPr>
        <w:t>Modulor-Use-of-Funds-Model-v1.xlsx</w:t>
      </w:r>
      <w:r>
        <w:t>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Drivers</w:t>
            </w:r>
          </w:p>
        </w:tc>
      </w:tr>
      <w:tr>
        <w:tc>
          <w:tcPr>
            <w:tcW w:type="dxa" w:w="2160"/>
          </w:tcPr>
          <w:p>
            <w:r>
              <w:t>Hardware prototyping</w:t>
            </w:r>
          </w:p>
        </w:tc>
        <w:tc>
          <w:tcPr>
            <w:tcW w:type="dxa" w:w="2160"/>
          </w:tcPr>
          <w:p>
            <w:r>
              <w:t>$1,200,000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Engineering firm fees (Mo 1–9), 3–5 prototype iterations, BOM, testing rigs, pilot-site hardware</w:t>
            </w:r>
          </w:p>
        </w:tc>
      </w:tr>
      <w:tr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$900,000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FT engineering hire #1 (Mo 6+), contracted firmware/ML work, sensor integration, app dev</w:t>
            </w:r>
          </w:p>
        </w:tc>
      </w:tr>
      <w:tr>
        <w:tc>
          <w:tcPr>
            <w:tcW w:type="dxa" w:w="2160"/>
          </w:tcPr>
          <w:p>
            <w:r>
              <w:t>Go-to-market</w:t>
            </w:r>
          </w:p>
        </w:tc>
        <w:tc>
          <w:tcPr>
            <w:tcW w:type="dxa" w:w="2160"/>
          </w:tcPr>
          <w:p>
            <w:r>
              <w:t>$450,000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Pilot site outfitting, sales materials, conference presence, first BD hire (Mo 12+)</w:t>
            </w:r>
          </w:p>
        </w:tc>
      </w:tr>
      <w:tr>
        <w:tc>
          <w:tcPr>
            <w:tcW w:type="dxa" w:w="2160"/>
          </w:tcPr>
          <w:p>
            <w:r>
              <w:t>IP / entity / data rights</w:t>
            </w:r>
          </w:p>
        </w:tc>
        <w:tc>
          <w:tcPr>
            <w:tcW w:type="dxa" w:w="2160"/>
          </w:tcPr>
          <w:p>
            <w:r>
              <w:t>$300,000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Patent non-provisional conversion, trademark, data licensing infrastructure, additional provisionals</w:t>
            </w:r>
          </w:p>
        </w:tc>
      </w:tr>
      <w:tr>
        <w:tc>
          <w:tcPr>
            <w:tcW w:type="dxa" w:w="2160"/>
          </w:tcPr>
          <w:p>
            <w:r>
              <w:t>Legal</w:t>
            </w:r>
          </w:p>
        </w:tc>
        <w:tc>
          <w:tcPr>
            <w:tcW w:type="dxa" w:w="2160"/>
          </w:tcPr>
          <w:p>
            <w:r>
              <w:t>$150,000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Outside counsel retainer, term-sheet red-lines, board/governance, ongoing IP support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$3,000,000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100%</w:t>
            </w:r>
          </w:p>
        </w:tc>
        <w:tc>
          <w:tcPr>
            <w:tcW w:type="dxa" w:w="2160"/>
          </w:tcPr>
          <w:p/>
        </w:tc>
      </w:tr>
    </w:tbl>
    <w:p>
      <w:r/>
    </w:p>
    <w:p>
      <w:r/>
      <w:r>
        <w:t xml:space="preserve">Designed to buy </w:t>
      </w:r>
      <w:r>
        <w:rPr>
          <w:b/>
        </w:rPr>
        <w:t>30 months of runway</w:t>
      </w:r>
      <w:r>
        <w:t xml:space="preserve"> at ~$100K avg monthly burn.</w:t>
      </w:r>
      <w:r/>
    </w:p>
    <w:p>
      <w:pPr>
        <w:pStyle w:val="Heading2"/>
      </w:pPr>
      <w:r>
        <w:t>Burn Rate Model</w:t>
      </w:r>
      <w:r/>
    </w:p>
    <w:p>
      <w:r/>
      <w:r>
        <w:t xml:space="preserve">Spreadsheet: </w:t>
      </w:r>
      <w:r>
        <w:rPr>
          <w:rFonts w:ascii="Courier" w:hAnsi="Courier"/>
        </w:rPr>
        <w:t>Modulor-Burn-Forecast.xlsx</w:t>
      </w:r>
      <w:r>
        <w:t>. Two phases:</w:t>
      </w:r>
      <w:r/>
    </w:p>
    <w:p>
      <w:pPr>
        <w:pStyle w:val="Heading3"/>
      </w:pPr>
      <w:r>
        <w:t>Phase 1 — Pre-funding (Apr 2026 → close, target Sep 2026)</w:t>
      </w:r>
      <w:r/>
      <w:r/>
    </w:p>
    <w:p>
      <w:pPr>
        <w:pStyle w:val="ListBullet"/>
        <w:spacing w:line="240" w:lineRule="auto"/>
        <w:ind w:left="720"/>
      </w:pPr>
      <w:r/>
      <w:r>
        <w:t>~$50–100/mo recurring (Workspace + Slack + domain amortized)</w:t>
      </w:r>
      <w:r/>
    </w:p>
    <w:p>
      <w:pPr>
        <w:pStyle w:val="ListBullet"/>
        <w:spacing w:line="240" w:lineRule="auto"/>
        <w:ind w:left="720"/>
      </w:pPr>
      <w:r/>
      <w:r>
        <w:t>~$3,500 one-shot expected before close (trademark, counsel, D&amp;O quote)</w:t>
      </w:r>
      <w:r/>
    </w:p>
    <w:p>
      <w:pPr>
        <w:pStyle w:val="ListBullet"/>
        <w:spacing w:line="240" w:lineRule="auto"/>
        <w:ind w:left="720"/>
      </w:pPr>
      <w:r/>
      <w:r>
        <w:t>Founder-funded; reimburse on Mercury open</w:t>
      </w:r>
      <w:r/>
      <w:r/>
    </w:p>
    <w:p>
      <w:pPr>
        <w:pStyle w:val="Heading3"/>
      </w:pPr>
      <w:r>
        <w:t>Phase 2 — Post-funding (close → Mo 30, target close Sep 2026 → Mar 2029)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Months 1–6 (ramp):</w:t>
      </w:r>
      <w:r>
        <w:t xml:space="preserve"> $50–80K/mo as engineering firm engagements stand up + counsel work peaks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Months 7–18 (peak build):</w:t>
      </w:r>
      <w:r>
        <w:t xml:space="preserve"> $100–130K/mo — prototype iterations + first FT engineering hire + initial pilot site work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Months 19–30 (commercialization):</w:t>
      </w:r>
      <w:r>
        <w:t xml:space="preserve"> $90–110K/mo — production prep + GTM ramp + ongoing eng support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Average:</w:t>
      </w:r>
      <w:r>
        <w:t xml:space="preserve"> ~$100K/mo across 30 months</w:t>
      </w:r>
      <w:r/>
      <w:r/>
    </w:p>
    <w:p>
      <w:r/>
      <w:r>
        <w:t>See spreadsheet for monthly detail by category and running cash balance.</w:t>
      </w:r>
      <w:r/>
    </w:p>
    <w:p>
      <w:pPr>
        <w:pStyle w:val="Heading2"/>
      </w:pPr>
      <w:r>
        <w:t>Bank — Mercury</w:t>
      </w:r>
      <w:r/>
      <w:r/>
    </w:p>
    <w:p>
      <w:pPr>
        <w:pStyle w:val="ListBullet"/>
        <w:spacing w:line="240" w:lineRule="auto"/>
        <w:ind w:left="720"/>
      </w:pPr>
      <w:r/>
      <w:r>
        <w:t xml:space="preserve">Application submitted </w:t>
      </w:r>
      <w:r>
        <w:rPr>
          <w:b/>
        </w:rPr>
        <w:t>Apr 24, 2026</w:t>
      </w:r>
      <w:r/>
    </w:p>
    <w:p>
      <w:pPr>
        <w:pStyle w:val="ListBullet"/>
        <w:spacing w:line="240" w:lineRule="auto"/>
        <w:ind w:left="720"/>
      </w:pPr>
      <w:r/>
      <w:r>
        <w:t>Brex was the alternative; Mercury chosen for cleaner UI and Atlas integration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Status: pending approval.</w:t>
      </w:r>
      <w:r>
        <w:t xml:space="preserve"> No tracking yet.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Founder reimbursement queued:</w:t>
      </w:r>
      <w:r>
        <w:t xml:space="preserve"> $1,088 to Mitchell on first transfer in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Access:</w:t>
      </w:r>
      <w:r>
        <w:t xml:space="preserve"> Mitchell admin; Luke promoted to admin post-RSPA execution. </w:t>
      </w:r>
      <w:r>
        <w:rPr>
          <w:i/>
        </w:rPr>
        <w:t xml:space="preserve">(Andrew Bookkeeper invite never sent — he stepped out Apr 25, see </w:t>
      </w:r>
      <w:r>
        <w:rPr>
          <w:rFonts w:ascii="Courier" w:hAnsi="Courier"/>
          <w:i/>
        </w:rPr>
        <w:t>private/andrew-exit-2026-04-25.md</w:t>
      </w:r>
      <w:r>
        <w:rPr>
          <w:i/>
        </w:rPr>
        <w:t>.)</w:t>
      </w:r>
      <w:r/>
      <w:r/>
    </w:p>
    <w:p>
      <w:pPr>
        <w:pStyle w:val="Heading2"/>
      </w:pPr>
      <w:r>
        <w:t>QSBS — protect at all costs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5-year hold</w:t>
      </w:r>
      <w:r>
        <w:t xml:space="preserve"> on founder common starting Apr 20, 2026 = qualifying gain on sale after </w:t>
      </w:r>
      <w:r>
        <w:rPr>
          <w:b/>
        </w:rPr>
        <w:t>Apr 20, 2031</w:t>
      </w:r>
      <w:r/>
    </w:p>
    <w:p>
      <w:pPr>
        <w:pStyle w:val="ListBullet"/>
        <w:spacing w:line="240" w:lineRule="auto"/>
        <w:ind w:left="720"/>
      </w:pPr>
      <w:r/>
      <w:r>
        <w:t xml:space="preserve">Gain exclusion: up to </w:t>
      </w:r>
      <w:r>
        <w:rPr>
          <w:b/>
        </w:rPr>
        <w:t>$10M per founder</w:t>
      </w:r>
      <w:r>
        <w:t xml:space="preserve"> (or 10× basis, whichever greater) excluded from federal cap gains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Things that can break QSBS:</w:t>
      </w:r>
      <w:r>
        <w:t xml:space="preserve"> total gross assets &gt;$50M at issuance, redemptions within 2 years, conversion away from C-corp, certain reorganizations</w:t>
      </w:r>
      <w:r/>
    </w:p>
    <w:p>
      <w:pPr>
        <w:pStyle w:val="ListBullet"/>
        <w:spacing w:line="240" w:lineRule="auto"/>
        <w:ind w:left="720"/>
      </w:pPr>
      <w:r/>
      <w:r>
        <w:t>Luke's RSPA = fresh QSBS clock from his grant date</w:t>
      </w:r>
      <w:r/>
    </w:p>
    <w:p>
      <w:pPr>
        <w:pStyle w:val="ListBullet"/>
        <w:spacing w:line="240" w:lineRule="auto"/>
        <w:ind w:left="720"/>
      </w:pPr>
      <w:r/>
      <w:r>
        <w:t>83(b) elections critical — Mitchell's Atlas-mailed by May 6, hard close May 20</w:t>
      </w:r>
      <w:r/>
      <w:r/>
    </w:p>
    <w:p>
      <w:pPr>
        <w:pStyle w:val="Heading2"/>
      </w:pPr>
      <w:r>
        <w:t>Tax Calendar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Federal Form 1120:</w:t>
      </w:r>
      <w:r>
        <w:t xml:space="preserve"> Annual, due Apr 15 (extendable to Oct 15) — first filing </w:t>
      </w:r>
      <w:r>
        <w:rPr>
          <w:b/>
        </w:rPr>
        <w:t>Apr 15, 2027</w:t>
      </w:r>
      <w:r>
        <w:t xml:space="preserve"> for FY2026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Delaware franchise tax:</w:t>
      </w:r>
      <w:r>
        <w:t xml:space="preserve"> Annual, due Mar 1 — first filing </w:t>
      </w:r>
      <w:r>
        <w:rPr>
          <w:b/>
        </w:rPr>
        <w:t>Mar 1, 2027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State filings:</w:t>
      </w:r>
      <w:r>
        <w:t xml:space="preserve"> None additional unless we foreign-qualify in NJ</w:t>
      </w:r>
      <w:r/>
      <w:r/>
    </w:p>
    <w:p>
      <w:pPr>
        <w:pStyle w:val="Heading2"/>
      </w:pPr>
      <w:r>
        <w:t>Expense Policy (interim — formalize at first board meeting)</w:t>
      </w:r>
      <w:r/>
      <w:r/>
    </w:p>
    <w:p>
      <w:pPr>
        <w:pStyle w:val="ListBullet"/>
        <w:spacing w:line="240" w:lineRule="auto"/>
        <w:ind w:left="720"/>
      </w:pPr>
      <w:r/>
      <w:r>
        <w:t>All company expenses on Modulor business card once Mercury opens</w:t>
      </w:r>
      <w:r/>
    </w:p>
    <w:p>
      <w:pPr>
        <w:pStyle w:val="ListBullet"/>
        <w:spacing w:line="240" w:lineRule="auto"/>
        <w:ind w:left="720"/>
      </w:pPr>
      <w:r/>
      <w:r>
        <w:t xml:space="preserve">Founder reimbursements tracked in </w:t>
      </w:r>
      <w:r>
        <w:rPr>
          <w:rFonts w:ascii="Courier" w:hAnsi="Courier"/>
        </w:rPr>
        <w:t>private/ledger.csv</w:t>
      </w:r>
      <w:r>
        <w:t>, processed monthly on the 1st</w:t>
      </w:r>
      <w:r/>
    </w:p>
    <w:p>
      <w:pPr>
        <w:pStyle w:val="ListBullet"/>
        <w:spacing w:line="240" w:lineRule="auto"/>
        <w:ind w:left="720"/>
      </w:pPr>
      <w:r/>
      <w:r>
        <w:t>Single expense &gt;$5,000 requires written founder approval (currently Mitchell)</w:t>
      </w:r>
      <w:r/>
    </w:p>
    <w:p>
      <w:pPr>
        <w:pStyle w:val="ListBullet"/>
        <w:spacing w:line="240" w:lineRule="auto"/>
        <w:ind w:left="720"/>
      </w:pPr>
      <w:r/>
      <w:r>
        <w:t xml:space="preserve">Receipt retention: 7 years for IRS audit trail; receipts ingested via </w:t>
      </w:r>
      <w:r>
        <w:rPr>
          <w:rFonts w:ascii="Courier" w:hAnsi="Courier"/>
        </w:rPr>
        <w:t>scripts/ingest_receipts.py</w:t>
      </w:r>
      <w:r>
        <w:t xml:space="preserve"> (Gmail → ledger pipeline)</w:t>
      </w:r>
      <w:r/>
      <w:r/>
    </w:p>
    <w:p>
      <w:pPr>
        <w:pStyle w:val="Heading2"/>
      </w:pPr>
      <w:r>
        <w:t>Cadence</w:t>
      </w:r>
      <w:r/>
    </w:p>
    <w:p>
      <w:r/>
      <w:r>
        <w:rPr>
          <w:b/>
        </w:rPr>
        <w:t>Weekly (Mitchell, Mondays):</w:t>
      </w:r>
      <w:r>
        <w:t xml:space="preserve"> Mercury transaction review, code expense to category, update </w:t>
      </w:r>
      <w:r>
        <w:rPr>
          <w:rFonts w:ascii="Courier" w:hAnsi="Courier"/>
        </w:rPr>
        <w:t>ledger.csv</w:t>
      </w:r>
      <w:r>
        <w:t>.</w:t>
      </w:r>
      <w:r/>
    </w:p>
    <w:p>
      <w:r/>
      <w:r>
        <w:rPr>
          <w:b/>
        </w:rPr>
        <w:t>Monthly (Mitchell, 1st of month):</w:t>
      </w:r>
      <w:r>
        <w:t>- Reconcile bank vs. ledger - Update runway projection in burn-forecast spreadsheet - Categorize in QuickBooks (once active) - Founder reimbursement run - DE franchise tax calendar check (starting Oct 2026 for Mar 2027 filing)</w:t>
      </w:r>
      <w:r/>
    </w:p>
    <w:p>
      <w:r/>
      <w:r>
        <w:rPr>
          <w:b/>
        </w:rPr>
        <w:t>Quarterly:</w:t>
      </w:r>
      <w:r>
        <w:t xml:space="preserve"> Budget vs. actuals review, runway recalc against fresh assumptions, brief to advisor (Adam) + investor update.</w:t>
      </w:r>
      <w:r/>
    </w:p>
    <w:p>
      <w:r/>
      <w:r>
        <w:rPr>
          <w:b/>
        </w:rPr>
        <w:t>Annual:</w:t>
      </w:r>
      <w:r>
        <w:t xml:space="preserve"> March 1 franchise tax, April 15 Form 1120, Q4 board to approve next-year budget.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File map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private/finances.md</w:t>
            </w:r>
          </w:p>
        </w:tc>
        <w:tc>
          <w:tcPr>
            <w:tcW w:type="dxa" w:w="2880"/>
          </w:tcPr>
          <w:p>
            <w:r>
              <w:t>This narrative — single source of truth</w:t>
            </w:r>
          </w:p>
        </w:tc>
        <w:tc>
          <w:tcPr>
            <w:tcW w:type="dxa" w:w="2880"/>
          </w:tcPr>
          <w:p>
            <w:r>
              <w:t>Mitchell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private/ledger.csv</w:t>
            </w:r>
          </w:p>
        </w:tc>
        <w:tc>
          <w:tcPr>
            <w:tcW w:type="dxa" w:w="2880"/>
          </w:tcPr>
          <w:p>
            <w:r>
              <w:t>Transaction-level ledger (gitignored)</w:t>
            </w:r>
          </w:p>
        </w:tc>
        <w:tc>
          <w:tcPr>
            <w:tcW w:type="dxa" w:w="2880"/>
          </w:tcPr>
          <w:p>
            <w:r>
              <w:t xml:space="preserve">Mitchell + </w:t>
            </w:r>
            <w:r>
              <w:rPr>
                <w:rFonts w:ascii="Courier" w:hAnsi="Courier"/>
              </w:rPr>
              <w:t>scripts/ingest_receipts.py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build/drive-upload/01_Finances/Modulor-Finances.docx</w:t>
            </w:r>
          </w:p>
        </w:tc>
        <w:tc>
          <w:tcPr>
            <w:tcW w:type="dxa" w:w="2880"/>
          </w:tcPr>
          <w:p>
            <w:r>
              <w:t>Drive-readable narrative</w:t>
            </w:r>
          </w:p>
        </w:tc>
        <w:tc>
          <w:tcPr>
            <w:tcW w:type="dxa" w:w="2880"/>
          </w:tcPr>
          <w:p>
            <w:r>
              <w:t>Auto-built from this file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build/drive-upload/01_Finances/Modulor-Use-of-Funds-Model-v1.xlsx</w:t>
            </w:r>
          </w:p>
        </w:tc>
        <w:tc>
          <w:tcPr>
            <w:tcW w:type="dxa" w:w="2880"/>
          </w:tcPr>
          <w:p>
            <w:r>
              <w:t>$3M allocation × month × category, w/ rollups</w:t>
            </w:r>
          </w:p>
        </w:tc>
        <w:tc>
          <w:tcPr>
            <w:tcW w:type="dxa" w:w="2880"/>
          </w:tcPr>
          <w:p>
            <w:r>
              <w:t>Auto-built; edit assumptions in script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build/drive-upload/01_Finances/Modulor-Burn-Forecast.xlsx</w:t>
            </w:r>
          </w:p>
        </w:tc>
        <w:tc>
          <w:tcPr>
            <w:tcW w:type="dxa" w:w="2880"/>
          </w:tcPr>
          <w:p>
            <w:r>
              <w:t>30-month burn projection w/ running cash + runway</w:t>
            </w:r>
          </w:p>
        </w:tc>
        <w:tc>
          <w:tcPr>
            <w:tcW w:type="dxa" w:w="2880"/>
          </w:tcPr>
          <w:p>
            <w:r>
              <w:t>Auto-built; edit assumptions in script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scripts/build_finance_models.py</w:t>
            </w:r>
          </w:p>
        </w:tc>
        <w:tc>
          <w:tcPr>
            <w:tcW w:type="dxa" w:w="2880"/>
          </w:tcPr>
          <w:p>
            <w:r>
              <w:t>Spreadsheet builder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