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cb2d468c1fd86eedea77fddb21f52506bac22ee"/>
    <w:p>
      <w:pPr>
        <w:pStyle w:val="Heading1"/>
      </w:pPr>
      <w:r>
        <w:t xml:space="preserve">Memo: Co-Founder Role &amp; Equity — Matthew</w:t>
      </w:r>
      <w:r>
        <w:t xml:space="preserve"> </w:t>
      </w:r>
      <w:r>
        <w:t xml:space="preserve">“</w:t>
      </w:r>
      <w:r>
        <w:t xml:space="preserve">Luke</w:t>
      </w:r>
      <w:r>
        <w:t xml:space="preserve">”</w:t>
      </w:r>
      <w:r>
        <w:t xml:space="preserve"> </w:t>
      </w:r>
      <w:r>
        <w:t xml:space="preserve">Lisa</w:t>
      </w:r>
    </w:p>
    <w:p>
      <w:pPr>
        <w:pStyle w:val="FirstParagraph"/>
      </w:pPr>
      <w:r>
        <w:rPr>
          <w:bCs/>
          <w:b/>
        </w:rPr>
        <w:t xml:space="preserve">To:</w:t>
      </w:r>
      <w:r>
        <w:t xml:space="preserve"> </w:t>
      </w:r>
      <w:r>
        <w:t xml:space="preserve">Matthew</w:t>
      </w:r>
      <w:r>
        <w:t xml:space="preserve"> </w:t>
      </w:r>
      <w:r>
        <w:t xml:space="preserve">“</w:t>
      </w:r>
      <w:r>
        <w:t xml:space="preserve">Luke</w:t>
      </w:r>
      <w:r>
        <w:t xml:space="preserve">”</w:t>
      </w:r>
      <w:r>
        <w:t xml:space="preserve"> </w:t>
      </w:r>
      <w:r>
        <w:t xml:space="preserve">Lisa</w:t>
      </w:r>
      <w:r>
        <w:t xml:space="preserve"> </w:t>
      </w:r>
      <w:r>
        <w:rPr>
          <w:bCs/>
          <w:b/>
        </w:rPr>
        <w:t xml:space="preserve">From:</w:t>
      </w:r>
      <w:r>
        <w:t xml:space="preserve"> </w:t>
      </w:r>
      <w:r>
        <w:t xml:space="preserve">Mitchell Lisa</w:t>
      </w:r>
      <w:r>
        <w:t xml:space="preserve"> </w:t>
      </w:r>
      <w:r>
        <w:rPr>
          <w:bCs/>
          <w:b/>
        </w:rPr>
        <w:t xml:space="preserve">Re:</w:t>
      </w:r>
      <w:r>
        <w:t xml:space="preserve"> </w:t>
      </w:r>
      <w:r>
        <w:t xml:space="preserve">Formalizing your role, equity, and scope at Modulor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April 20, 2026</w:t>
      </w:r>
    </w:p>
    <w:p>
      <w:r>
        <w:pict>
          <v:rect style="width:0;height:1.5pt" o:hralign="center" o:hrstd="t" o:hr="t"/>
        </w:pict>
      </w:r>
    </w:p>
    <w:bookmarkStart w:id="20" w:name="intent"/>
    <w:p>
      <w:pPr>
        <w:pStyle w:val="Heading2"/>
      </w:pPr>
      <w:r>
        <w:t xml:space="preserve">Intent</w:t>
      </w:r>
    </w:p>
    <w:p>
      <w:pPr>
        <w:pStyle w:val="FirstParagraph"/>
      </w:pPr>
      <w:r>
        <w:t xml:space="preserve">Luke — following our conversation on your drive, this memo puts the role and</w:t>
      </w:r>
      <w:r>
        <w:t xml:space="preserve"> </w:t>
      </w:r>
      <w:r>
        <w:t xml:space="preserve">terms we discussed on paper so we can lock it in at the first board meeting</w:t>
      </w:r>
      <w:r>
        <w:t xml:space="preserve"> </w:t>
      </w:r>
      <w:r>
        <w:t xml:space="preserve">and get you onto the team slide for investor conversations. Nothing here is</w:t>
      </w:r>
      <w:r>
        <w:t xml:space="preserve"> </w:t>
      </w:r>
      <w:r>
        <w:t xml:space="preserve">final until we both sign; read it, push back on anything that feels off, and</w:t>
      </w:r>
      <w:r>
        <w:t xml:space="preserve"> </w:t>
      </w:r>
      <w:r>
        <w:t xml:space="preserve">we’ll adjust.</w:t>
      </w:r>
    </w:p>
    <w:bookmarkEnd w:id="20"/>
    <w:bookmarkStart w:id="21" w:name="role"/>
    <w:p>
      <w:pPr>
        <w:pStyle w:val="Heading2"/>
      </w:pPr>
      <w:r>
        <w:t xml:space="preserve">Role</w: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t xml:space="preserve">Co-Founder · CTO</w:t>
      </w:r>
    </w:p>
    <w:p>
      <w:pPr>
        <w:pStyle w:val="BodyText"/>
      </w:pPr>
      <w:r>
        <w:rPr>
          <w:bCs/>
          <w:b/>
        </w:rPr>
        <w:t xml:space="preserve">Scope.</w:t>
      </w:r>
      <w:r>
        <w:t xml:space="preserve"> </w:t>
      </w:r>
      <w:r>
        <w:t xml:space="preserve">You own engineering, hardware, and the full physical product</w:t>
      </w:r>
      <w:r>
        <w:t xml:space="preserve"> </w:t>
      </w:r>
      <w:r>
        <w:t xml:space="preserve">lifecycle — not bench engineering, but the technical leadership and</w:t>
      </w:r>
      <w:r>
        <w:t xml:space="preserve"> </w:t>
      </w:r>
      <w:r>
        <w:t xml:space="preserve">operational authority that turns product requirements into built hardware.</w:t>
      </w:r>
      <w:r>
        <w:t xml:space="preserve"> </w:t>
      </w:r>
      <w:r>
        <w:t xml:space="preserve">CTO title reads correctly on the deck: hardware + ML seed, named technical</w:t>
      </w:r>
      <w:r>
        <w:t xml:space="preserve"> </w:t>
      </w:r>
      <w:r>
        <w:t xml:space="preserve">co-founder. While on active duty, the title is external branding — Mitchell</w:t>
      </w:r>
      <w:r>
        <w:t xml:space="preserve"> </w:t>
      </w:r>
      <w:r>
        <w:t xml:space="preserve">runs investor calls and DoD business development directly until your status</w:t>
      </w:r>
      <w:r>
        <w:t xml:space="preserve"> </w:t>
      </w:r>
      <w:r>
        <w:t xml:space="preserve">shifts:</w:t>
      </w:r>
    </w:p>
    <w:p>
      <w:pPr>
        <w:numPr>
          <w:ilvl w:val="0"/>
          <w:numId w:val="1001"/>
        </w:numPr>
        <w:pStyle w:val="Compact"/>
      </w:pPr>
      <w:r>
        <w:t xml:space="preserve">Source, vet, and manage external design firms, mechanical/electrical</w:t>
      </w:r>
      <w:r>
        <w:t xml:space="preserve"> </w:t>
      </w:r>
      <w:r>
        <w:t xml:space="preserve">engineers, CNC shops, and 3D-printing / prototyping partners</w:t>
      </w:r>
    </w:p>
    <w:p>
      <w:pPr>
        <w:numPr>
          <w:ilvl w:val="0"/>
          <w:numId w:val="1001"/>
        </w:numPr>
        <w:pStyle w:val="Compact"/>
      </w:pPr>
      <w:r>
        <w:t xml:space="preserve">Run the planning cadence for the build — objectives, milestones, decision</w:t>
      </w:r>
      <w:r>
        <w:t xml:space="preserve"> </w:t>
      </w:r>
      <w:r>
        <w:t xml:space="preserve">points, do-outs — using the distributed-planning approach you already run</w:t>
      </w:r>
      <w:r>
        <w:t xml:space="preserve"> </w:t>
      </w:r>
      <w:r>
        <w:t xml:space="preserve">in the Air Force</w:t>
      </w:r>
    </w:p>
    <w:p>
      <w:pPr>
        <w:numPr>
          <w:ilvl w:val="0"/>
          <w:numId w:val="1001"/>
        </w:numPr>
        <w:pStyle w:val="Compact"/>
      </w:pPr>
      <w:r>
        <w:t xml:space="preserve">Translate product and sensor requirements into engineering specs contractors</w:t>
      </w:r>
      <w:r>
        <w:t xml:space="preserve"> </w:t>
      </w:r>
      <w:r>
        <w:t xml:space="preserve">can bid against</w:t>
      </w:r>
    </w:p>
    <w:p>
      <w:pPr>
        <w:numPr>
          <w:ilvl w:val="0"/>
          <w:numId w:val="1001"/>
        </w:numPr>
        <w:pStyle w:val="Compact"/>
      </w:pPr>
      <w:r>
        <w:t xml:space="preserve">Review contractor deliverables (CAD files, drawings, BOMs, test results) on</w:t>
      </w:r>
      <w:r>
        <w:t xml:space="preserve"> </w:t>
      </w:r>
      <w:r>
        <w:t xml:space="preserve">behalf of the company</w:t>
      </w:r>
    </w:p>
    <w:p>
      <w:pPr>
        <w:numPr>
          <w:ilvl w:val="0"/>
          <w:numId w:val="1001"/>
        </w:numPr>
        <w:pStyle w:val="Compact"/>
      </w:pPr>
      <w:r>
        <w:t xml:space="preserve">Build the manufacturing path: prototype → small batch → scale, keeping</w:t>
      </w:r>
      <w:r>
        <w:t xml:space="preserve"> </w:t>
      </w:r>
      <w:r>
        <w:t xml:space="preserve">design-for-manufacture in mind from the first prototype</w:t>
      </w:r>
    </w:p>
    <w:p>
      <w:pPr>
        <w:numPr>
          <w:ilvl w:val="0"/>
          <w:numId w:val="1001"/>
        </w:numPr>
        <w:pStyle w:val="Compact"/>
      </w:pPr>
      <w:r>
        <w:t xml:space="preserve">Leverage your network — including your father’s manufacturing-ops</w:t>
      </w:r>
      <w:r>
        <w:t xml:space="preserve"> </w:t>
      </w:r>
      <w:r>
        <w:t xml:space="preserve">experience and the East Coast machine-shop contacts — as advisors and</w:t>
      </w:r>
      <w:r>
        <w:t xml:space="preserve"> </w:t>
      </w:r>
      <w:r>
        <w:t xml:space="preserve">vendor options</w:t>
      </w:r>
    </w:p>
    <w:p>
      <w:pPr>
        <w:numPr>
          <w:ilvl w:val="0"/>
          <w:numId w:val="1001"/>
        </w:numPr>
        <w:pStyle w:val="Compact"/>
      </w:pPr>
      <w:r>
        <w:t xml:space="preserve">Serve as Modulor’s military/DoD strategic advisor — contacts, intros,</w:t>
      </w:r>
      <w:r>
        <w:t xml:space="preserve"> </w:t>
      </w:r>
      <w:r>
        <w:t xml:space="preserve">partnership strategy — with relationships across 711 Human Performance</w:t>
      </w:r>
      <w:r>
        <w:t xml:space="preserve"> </w:t>
      </w:r>
      <w:r>
        <w:t xml:space="preserve">Wing (AFRL), Special Warfare training wings, and operator squadrons.</w:t>
      </w:r>
      <w:r>
        <w:t xml:space="preserve"> </w:t>
      </w:r>
      <w:r>
        <w:rPr>
          <w:bCs/>
          <w:b/>
        </w:rPr>
        <w:t xml:space="preserve">While you remain on active duty, direct customer negotiations and</w:t>
      </w:r>
      <w:r>
        <w:rPr>
          <w:bCs/>
          <w:b/>
        </w:rPr>
        <w:t xml:space="preserve"> </w:t>
      </w:r>
      <w:r>
        <w:rPr>
          <w:bCs/>
          <w:b/>
        </w:rPr>
        <w:t xml:space="preserve">contracting are led by Mitchell / the Modulor team.</w:t>
      </w:r>
      <w:r>
        <w:t xml:space="preserve"> </w:t>
      </w:r>
      <w:r>
        <w:t xml:space="preserve">Your contribution</w:t>
      </w:r>
      <w:r>
        <w:t xml:space="preserve"> </w:t>
      </w:r>
      <w:r>
        <w:t xml:space="preserve">is strategy, relationships, and positioning — not direct sales or</w:t>
      </w:r>
      <w:r>
        <w:t xml:space="preserve"> </w:t>
      </w:r>
      <w:r>
        <w:t xml:space="preserve">contracting decisions.</w:t>
      </w:r>
    </w:p>
    <w:p>
      <w:pPr>
        <w:numPr>
          <w:ilvl w:val="0"/>
          <w:numId w:val="1001"/>
        </w:numPr>
        <w:pStyle w:val="Compact"/>
      </w:pPr>
      <w:r>
        <w:t xml:space="preserve">Evaluate SBIR (Small Business Innovation Research) grant opportunities —</w:t>
      </w:r>
      <w:r>
        <w:t xml:space="preserve"> </w:t>
      </w:r>
      <w:r>
        <w:t xml:space="preserve">you have prior experience administering SBIRs at AFRL, and DoD dual-use</w:t>
      </w:r>
      <w:r>
        <w:t xml:space="preserve"> </w:t>
      </w:r>
      <w:r>
        <w:t xml:space="preserve">awards (Phase I: $150–300K non-dilutive; Phase II: $1M+) are a potential</w:t>
      </w:r>
      <w:r>
        <w:t xml:space="preserve"> </w:t>
      </w:r>
      <w:r>
        <w:t xml:space="preserve">runway extender alongside the seed round</w:t>
      </w:r>
    </w:p>
    <w:p>
      <w:pPr>
        <w:pStyle w:val="FirstParagraph"/>
      </w:pPr>
      <w:r>
        <w:rPr>
          <w:bCs/>
          <w:b/>
        </w:rPr>
        <w:t xml:space="preserve">Commitment.</w:t>
      </w:r>
      <w:r>
        <w:t xml:space="preserve"> </w:t>
      </w:r>
      <w:r>
        <w:t xml:space="preserve">Part-time while you complete your Air Force service. We both</w:t>
      </w:r>
      <w:r>
        <w:t xml:space="preserve"> </w:t>
      </w:r>
      <w:r>
        <w:t xml:space="preserve">expect that to run ~4–5 more years. Capacity ramps when your military</w:t>
      </w:r>
      <w:r>
        <w:t xml:space="preserve"> </w:t>
      </w:r>
      <w:r>
        <w:t xml:space="preserve">commitment ends.</w:t>
      </w:r>
    </w:p>
    <w:bookmarkEnd w:id="21"/>
    <w:bookmarkStart w:id="23" w:name="equity"/>
    <w:p>
      <w:pPr>
        <w:pStyle w:val="Heading2"/>
      </w:pPr>
      <w:r>
        <w:t xml:space="preserve">Equity</w:t>
      </w:r>
    </w:p>
    <w:p>
      <w:pPr>
        <w:pStyle w:val="FirstParagraph"/>
      </w:pPr>
      <w:r>
        <w:rPr>
          <w:bCs/>
          <w:b/>
        </w:rPr>
        <w:t xml:space="preserve">5.00% of common stock</w:t>
      </w:r>
      <w:r>
        <w:t xml:space="preserve">, founding-team grant.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Vesting:</w:t>
      </w:r>
      <w:r>
        <w:t xml:space="preserve"> </w:t>
      </w:r>
      <w:r>
        <w:t xml:space="preserve">4-year schedule, 1-year cliff (25% vests at month 12, then</w:t>
      </w:r>
      <w:r>
        <w:t xml:space="preserve"> </w:t>
      </w:r>
      <w:r>
        <w:t xml:space="preserve">monthly thereafter)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Acceleration:</w:t>
      </w:r>
      <w:r>
        <w:t xml:space="preserve"> </w:t>
      </w:r>
      <w:r>
        <w:t xml:space="preserve">Double-trigger on change of control (acquisition +</w:t>
      </w:r>
      <w:r>
        <w:t xml:space="preserve"> </w:t>
      </w:r>
      <w:r>
        <w:t xml:space="preserve">termination without cause within 12 months)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Class:</w:t>
      </w:r>
      <w:r>
        <w:t xml:space="preserve"> </w:t>
      </w:r>
      <w:r>
        <w:t xml:space="preserve">Common stock, issued at formation; 83(b) election to be filed</w:t>
      </w:r>
      <w:r>
        <w:t xml:space="preserve"> </w:t>
      </w:r>
      <w:r>
        <w:t xml:space="preserve">within 30 days of grant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Dilution:</w:t>
      </w:r>
      <w:r>
        <w:t xml:space="preserve"> </w:t>
      </w:r>
      <w:r>
        <w:t xml:space="preserve">Pari passu with other founders through future rounds</w:t>
      </w:r>
    </w:p>
    <w:bookmarkStart w:id="22" w:name="why-5"/>
    <w:p>
      <w:pPr>
        <w:pStyle w:val="Heading3"/>
      </w:pPr>
      <w:r>
        <w:t xml:space="preserve">Why 5%</w:t>
      </w:r>
    </w:p>
    <w:p>
      <w:pPr>
        <w:pStyle w:val="FirstParagraph"/>
      </w:pPr>
      <w:r>
        <w:t xml:space="preserve">You floated ~3% as a fair reflection of current bandwidth. I’m proposing 5%</w:t>
      </w:r>
      <w:r>
        <w:t xml:space="preserve"> </w:t>
      </w:r>
      <w:r>
        <w:t xml:space="preserve">because:</w:t>
      </w:r>
    </w:p>
    <w:p>
      <w:pPr>
        <w:numPr>
          <w:ilvl w:val="0"/>
          <w:numId w:val="1003"/>
        </w:numPr>
        <w:pStyle w:val="Compact"/>
      </w:pPr>
      <w:r>
        <w:t xml:space="preserve">You are owning a function I cannot staff myself — engineering operations</w:t>
      </w:r>
      <w:r>
        <w:t xml:space="preserve"> </w:t>
      </w:r>
      <w:r>
        <w:t xml:space="preserve">is the critical path to a working prototype.</w:t>
      </w:r>
    </w:p>
    <w:p>
      <w:pPr>
        <w:numPr>
          <w:ilvl w:val="0"/>
          <w:numId w:val="1003"/>
        </w:numPr>
        <w:pStyle w:val="Compact"/>
      </w:pPr>
      <w:r>
        <w:t xml:space="preserve">Your Air Force credentials are load-bearing for the military GTM — you are</w:t>
      </w:r>
      <w:r>
        <w:t xml:space="preserve"> </w:t>
      </w:r>
      <w:r>
        <w:t xml:space="preserve">both the target user and the access point to AFWERX / SOFWERX.</w:t>
      </w:r>
    </w:p>
    <w:p>
      <w:pPr>
        <w:numPr>
          <w:ilvl w:val="0"/>
          <w:numId w:val="1003"/>
        </w:numPr>
        <w:pStyle w:val="Compact"/>
      </w:pPr>
      <w:r>
        <w:t xml:space="preserve">The 18-year planning-and-execution track record is the single biggest</w:t>
      </w:r>
      <w:r>
        <w:t xml:space="preserve"> </w:t>
      </w:r>
      <w:r>
        <w:t xml:space="preserve">credibility signal on the team slide.</w:t>
      </w:r>
    </w:p>
    <w:p>
      <w:pPr>
        <w:numPr>
          <w:ilvl w:val="0"/>
          <w:numId w:val="1003"/>
        </w:numPr>
        <w:pStyle w:val="Compact"/>
      </w:pPr>
      <w:r>
        <w:t xml:space="preserve">Family-trust premium — we both know what this is worth and why it matters.</w:t>
      </w:r>
    </w:p>
    <w:p>
      <w:pPr>
        <w:pStyle w:val="FirstParagraph"/>
      </w:pPr>
      <w:r>
        <w:t xml:space="preserve">5% sits cleanly between a standard advisor grant (0.25–1%) and a full-time</w:t>
      </w:r>
      <w:r>
        <w:t xml:space="preserve"> </w:t>
      </w:r>
      <w:r>
        <w:t xml:space="preserve">co-founder split (15–25%). It’s the</w:t>
      </w:r>
      <w:r>
        <w:t xml:space="preserve"> </w:t>
      </w:r>
      <w:r>
        <w:t xml:space="preserve">“</w:t>
      </w:r>
      <w:r>
        <w:t xml:space="preserve">key founding hire, part-time now,</w:t>
      </w:r>
      <w:r>
        <w:t xml:space="preserve"> </w:t>
      </w:r>
      <w:r>
        <w:t xml:space="preserve">full-time eligible later</w:t>
      </w:r>
      <w:r>
        <w:t xml:space="preserve">”</w:t>
      </w:r>
      <w:r>
        <w:t xml:space="preserve"> </w:t>
      </w:r>
      <w:r>
        <w:t xml:space="preserve">band.</w:t>
      </w:r>
    </w:p>
    <w:bookmarkEnd w:id="22"/>
    <w:bookmarkEnd w:id="23"/>
    <w:bookmarkStart w:id="24" w:name="structure"/>
    <w:p>
      <w:pPr>
        <w:pStyle w:val="Heading2"/>
      </w:pPr>
      <w:r>
        <w:t xml:space="preserve">Structure</w:t>
      </w:r>
    </w:p>
    <w:p>
      <w:pPr>
        <w:numPr>
          <w:ilvl w:val="0"/>
          <w:numId w:val="1004"/>
        </w:numPr>
        <w:pStyle w:val="Compact"/>
      </w:pPr>
      <w:r>
        <w:t xml:space="preserve">Parent holdco in</w:t>
      </w:r>
      <w:r>
        <w:t xml:space="preserve"> </w:t>
      </w:r>
      <w:r>
        <w:rPr>
          <w:bCs/>
          <w:b/>
        </w:rPr>
        <w:t xml:space="preserve">Delaware or Wyoming</w:t>
      </w:r>
      <w:r>
        <w:t xml:space="preserve"> </w:t>
      </w:r>
      <w:r>
        <w:t xml:space="preserve">(decide at first board meeting)</w:t>
      </w:r>
    </w:p>
    <w:p>
      <w:pPr>
        <w:numPr>
          <w:ilvl w:val="0"/>
          <w:numId w:val="1004"/>
        </w:numPr>
        <w:pStyle w:val="Compact"/>
      </w:pPr>
      <w:r>
        <w:t xml:space="preserve">Holdco owns the IP/data entity and the operating/manufacturing entity</w:t>
      </w:r>
    </w:p>
    <w:p>
      <w:pPr>
        <w:numPr>
          <w:ilvl w:val="0"/>
          <w:numId w:val="1004"/>
        </w:numPr>
        <w:pStyle w:val="Compact"/>
      </w:pPr>
      <w:r>
        <w:t xml:space="preserve">Outside investors buy into the operating entity; family retains majority</w:t>
      </w:r>
      <w:r>
        <w:t xml:space="preserve"> </w:t>
      </w:r>
      <w:r>
        <w:t xml:space="preserve">control at the holdco level</w:t>
      </w:r>
    </w:p>
    <w:p>
      <w:pPr>
        <w:numPr>
          <w:ilvl w:val="0"/>
          <w:numId w:val="1004"/>
        </w:numPr>
        <w:pStyle w:val="Compact"/>
      </w:pPr>
      <w:r>
        <w:t xml:space="preserve">Your 5% is at the holdco level so you share in every downstream entity</w:t>
      </w:r>
    </w:p>
    <w:bookmarkEnd w:id="24"/>
    <w:bookmarkStart w:id="25" w:name="deliverables-for-the-first-board-meeting"/>
    <w:p>
      <w:pPr>
        <w:pStyle w:val="Heading2"/>
      </w:pPr>
      <w:r>
        <w:t xml:space="preserve">Deliverables for the First Board Meeting</w:t>
      </w:r>
    </w:p>
    <w:p>
      <w:pPr>
        <w:pStyle w:val="FirstParagraph"/>
      </w:pPr>
      <w:r>
        <w:t xml:space="preserve">From you, before end of April:</w:t>
      </w:r>
    </w:p>
    <w:p>
      <w:pPr>
        <w:numPr>
          <w:ilvl w:val="0"/>
          <w:numId w:val="1005"/>
        </w:numPr>
        <w:pStyle w:val="Compact"/>
      </w:pPr>
      <w:r>
        <w:t xml:space="preserve">Updated bio for the team slide (one paragraph, investor-facing)</w:t>
      </w:r>
    </w:p>
    <w:p>
      <w:pPr>
        <w:numPr>
          <w:ilvl w:val="0"/>
          <w:numId w:val="1005"/>
        </w:numPr>
        <w:pStyle w:val="Compact"/>
      </w:pPr>
      <w:r>
        <w:t xml:space="preserve">Short list of 2–3 East Coast design / prototyping firms worth calling</w:t>
      </w:r>
    </w:p>
    <w:p>
      <w:pPr>
        <w:numPr>
          <w:ilvl w:val="0"/>
          <w:numId w:val="1005"/>
        </w:numPr>
        <w:pStyle w:val="Compact"/>
      </w:pPr>
      <w:r>
        <w:t xml:space="preserve">Your read on Delaware vs. Wyoming for the parent entity</w:t>
      </w:r>
    </w:p>
    <w:p>
      <w:pPr>
        <w:numPr>
          <w:ilvl w:val="0"/>
          <w:numId w:val="1005"/>
        </w:numPr>
        <w:pStyle w:val="Compact"/>
      </w:pPr>
      <w:r>
        <w:t xml:space="preserve">Confirmation that your father is open to an informal advisor conversation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Military legal review</w:t>
      </w:r>
      <w:r>
        <w:t xml:space="preserve"> </w:t>
      </w:r>
      <w:r>
        <w:t xml:space="preserve">— check with military-side lawyers on the</w:t>
      </w:r>
      <w:r>
        <w:t xml:space="preserve"> </w:t>
      </w:r>
      <w:r>
        <w:t xml:space="preserve">scope of permitted founder activities while active duty: board service,</w:t>
      </w:r>
      <w:r>
        <w:t xml:space="preserve"> </w:t>
      </w:r>
      <w:r>
        <w:t xml:space="preserve">public team-slide listing, disclosure requirements to your command,</w:t>
      </w:r>
      <w:r>
        <w:t xml:space="preserve"> </w:t>
      </w:r>
      <w:r>
        <w:t xml:space="preserve">SBIR grant eligibility with you as a founder, and any specific</w:t>
      </w:r>
      <w:r>
        <w:t xml:space="preserve"> </w:t>
      </w:r>
      <w:r>
        <w:t xml:space="preserve">situations you cannot participate in (e.g., customer meetings where</w:t>
      </w:r>
      <w:r>
        <w:t xml:space="preserve"> </w:t>
      </w:r>
      <w:r>
        <w:t xml:space="preserve">contracting is discussed)</w:t>
      </w:r>
    </w:p>
    <w:p>
      <w:pPr>
        <w:pStyle w:val="FirstParagraph"/>
      </w:pPr>
      <w:r>
        <w:t xml:space="preserve">From me:</w:t>
      </w:r>
    </w:p>
    <w:p>
      <w:pPr>
        <w:numPr>
          <w:ilvl w:val="0"/>
          <w:numId w:val="1006"/>
        </w:numPr>
        <w:pStyle w:val="Compact"/>
      </w:pPr>
      <w:r>
        <w:t xml:space="preserve">This memo, countersigned</w:t>
      </w:r>
    </w:p>
    <w:p>
      <w:pPr>
        <w:numPr>
          <w:ilvl w:val="0"/>
          <w:numId w:val="1006"/>
        </w:numPr>
        <w:pStyle w:val="Compact"/>
      </w:pPr>
      <w:r>
        <w:t xml:space="preserve">Draft equity grant agreement and vesting schedule (via counsel)</w:t>
      </w:r>
    </w:p>
    <w:p>
      <w:pPr>
        <w:numPr>
          <w:ilvl w:val="0"/>
          <w:numId w:val="1006"/>
        </w:numPr>
        <w:pStyle w:val="Compact"/>
      </w:pPr>
      <w:r>
        <w:t xml:space="preserve">Cap table showing the 5% grant</w:t>
      </w:r>
    </w:p>
    <w:p>
      <w:pPr>
        <w:numPr>
          <w:ilvl w:val="0"/>
          <w:numId w:val="1006"/>
        </w:numPr>
        <w:pStyle w:val="Compact"/>
      </w:pPr>
      <w:r>
        <w:t xml:space="preserve">Pre-read deck for the meeting</w:t>
      </w:r>
    </w:p>
    <w:bookmarkEnd w:id="25"/>
    <w:bookmarkStart w:id="26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7"/>
        </w:numPr>
        <w:pStyle w:val="Compact"/>
      </w:pPr>
      <w:r>
        <w:t xml:space="preserve">You read this and come back with edits</w:t>
      </w:r>
    </w:p>
    <w:p>
      <w:pPr>
        <w:numPr>
          <w:ilvl w:val="0"/>
          <w:numId w:val="1007"/>
        </w:numPr>
        <w:pStyle w:val="Compact"/>
      </w:pPr>
      <w:r>
        <w:t xml:space="preserve">We lock terms in the first board meeting (target: Sunday, late April)</w:t>
      </w:r>
    </w:p>
    <w:p>
      <w:pPr>
        <w:numPr>
          <w:ilvl w:val="0"/>
          <w:numId w:val="1007"/>
        </w:numPr>
        <w:pStyle w:val="Compact"/>
      </w:pPr>
      <w:r>
        <w:t xml:space="preserve">Counsel drafts paperwork the week after</w:t>
      </w:r>
    </w:p>
    <w:p>
      <w:pPr>
        <w:numPr>
          <w:ilvl w:val="0"/>
          <w:numId w:val="1007"/>
        </w:numPr>
        <w:pStyle w:val="Compact"/>
      </w:pPr>
      <w:r>
        <w:t xml:space="preserve">You sign and file 83(b) within 30 days of grant</w:t>
      </w:r>
    </w:p>
    <w:p>
      <w:pPr>
        <w:numPr>
          <w:ilvl w:val="0"/>
          <w:numId w:val="1007"/>
        </w:numPr>
        <w:pStyle w:val="Compact"/>
      </w:pPr>
      <w:r>
        <w:t xml:space="preserve">Team slide goes live with your new title in the next pitch update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Push back on anything. This is a starting point, not a position.</w:t>
      </w:r>
    </w:p>
    <w:p>
      <w:pPr>
        <w:pStyle w:val="BodyText"/>
      </w:pPr>
      <w:r>
        <w:t xml:space="preserve">— Mitchell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2026-04-23T19:53:30Z</dcterms:created>
  <dcterms:modified xsi:type="dcterms:W3CDTF">2026-04-23T19:53:30Z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