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ilitary-dod-go-to-market"/>
    <w:p>
      <w:pPr>
        <w:pStyle w:val="Heading1"/>
      </w:pPr>
      <w:r>
        <w:t xml:space="preserve">19. MILITARY / DoD GO-TO-MARKET</w:t>
      </w:r>
    </w:p>
    <w:p>
      <w:pPr>
        <w:pStyle w:val="FirstParagraph"/>
      </w:pPr>
      <w:r>
        <w:t xml:space="preserve">Non-dilutive capital + the best-paying MSK buyer in the country. Parallel pathway, not a pivot.</w:t>
      </w:r>
    </w:p>
    <w:bookmarkStart w:id="20" w:name="why-dod-is-the-right-buyer"/>
    <w:p>
      <w:pPr>
        <w:pStyle w:val="Heading2"/>
      </w:pPr>
      <w:r>
        <w:t xml:space="preserve">Why DoD is the right buyer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pro 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 injuries /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~8K (pro leagues combined)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~800K (active-duty, all services)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 cost / 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~$1.2B (guaranteed contracts lost)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~$3.7B (readiness + medical)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GM /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SBIR, OTA, MIPR, base-level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(SBIR Phase 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Dilutive?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(you sell 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(SBIR is grant + contract)</w:t>
            </w:r>
          </w:p>
        </w:tc>
      </w:tr>
    </w:tbl>
    <w:p>
      <w:pPr>
        <w:pStyle w:val="BodyText"/>
      </w:pPr>
      <w:r>
        <w:t xml:space="preserve">MSK injury is the #1 cause of lost duty days in every service branch. It is a larger, faster-paying, data-richer market than pro sport — and it runs on non-dilutive capital.</w:t>
      </w:r>
    </w:p>
    <w:bookmarkEnd w:id="20"/>
    <w:bookmarkStart w:id="21" w:name="the-four-on-ramps"/>
    <w:p>
      <w:pPr>
        <w:pStyle w:val="Heading2"/>
      </w:pPr>
      <w:r>
        <w:t xml:space="preserve">The four on-ramps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346"/>
        <w:gridCol w:w="1906"/>
        <w:gridCol w:w="1613"/>
        <w:gridCol w:w="7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AFWERX</w:t>
            </w:r>
            <w:r>
              <w:t xml:space="preserve"> </w:t>
            </w:r>
            <w:r>
              <w:t xml:space="preserve">(Air Force)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Kessel Run / SpaceWERX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 Phase I → $1.7M Phase II → $15M STRATFI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9 / 18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MSK readiness, pilot physicals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SOFWERX</w:t>
            </w:r>
            <w:r>
              <w:t xml:space="preserve"> </w:t>
            </w:r>
            <w:r>
              <w:t xml:space="preserve">(USSOCOM)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Ops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$250K–$3M via CRADA /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Tier-1 operator performance + RTD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DIU</w:t>
            </w:r>
            <w:r>
              <w:t xml:space="preserve"> </w:t>
            </w:r>
            <w:r>
              <w:t xml:space="preserve">(Defense Innovation Unit)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OSD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$1–20M prototype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Dual-use commercial-first 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DHA</w:t>
            </w:r>
            <w:r>
              <w:t xml:space="preserve"> </w:t>
            </w:r>
            <w:r>
              <w:t xml:space="preserve">(Defense Health Agency)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surgeons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$500K–$10M R&amp;D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6–24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 injury reduction clinical studies</w:t>
            </w:r>
          </w:p>
        </w:tc>
      </w:tr>
    </w:tbl>
    <w:bookmarkEnd w:id="21"/>
    <w:bookmarkStart w:id="22" w:name="afwerx-the-fastest-yes"/>
    <w:p>
      <w:pPr>
        <w:pStyle w:val="Heading2"/>
      </w:pPr>
      <w:r>
        <w:t xml:space="preserve">AFWERX — the fastest yes</w:t>
      </w:r>
    </w:p>
    <w:p>
      <w:pPr>
        <w:pStyle w:val="FirstParagraph"/>
      </w:pPr>
      <w:r>
        <w:t xml:space="preserve">The AFWERX Open Topic SBIR is the easiest point of entry. Quarterly solicitations. 10-page application. Three-judge panel. Funded in 90 days.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2184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SAM.gov + DSIP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customer sponsor (AF squadron or wing)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Phase I proposal (10 pages)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SBIR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to Open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 pitch (if shortlisted)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 award ($75K, 3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Phase I report + deploy at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II application ($1.7M)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Phase I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squadrons for customer sponsorship:</w:t>
      </w:r>
      <w:r>
        <w:t xml:space="preserve"> </w:t>
      </w:r>
      <w:r>
        <w:t xml:space="preserve">pararescue (PJ) units, combat controllers, air combat command fighter squadrons, pilot training bases (MSK prevalence is &gt;50% in these populations).</w:t>
      </w:r>
    </w:p>
    <w:bookmarkEnd w:id="22"/>
    <w:bookmarkStart w:id="23" w:name="sofwerx-the-best-paying-pilot"/>
    <w:p>
      <w:pPr>
        <w:pStyle w:val="Heading2"/>
      </w:pPr>
      <w:r>
        <w:t xml:space="preserve">SOFWERX — the best-paying pilot</w:t>
      </w:r>
    </w:p>
    <w:p>
      <w:pPr>
        <w:pStyle w:val="FirstParagraph"/>
      </w:pPr>
      <w:r>
        <w:t xml:space="preserve">USSOCOM operators are the closest analog to elite pro athletes. Highest MSK load, highest cost per loss, most forward-leaning on performance tech.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99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SOFWERX buys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readiness — reduce op-tempo injuries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Session-level MSK risk signal per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RTD acceleration post-surgery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ROM + asymmetry restoration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for Tactical Human Optimization (THOR3)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Longitudinal mobility corpus across SOF units</w:t>
            </w:r>
          </w:p>
        </w:tc>
      </w:tr>
    </w:tbl>
    <w:p>
      <w:pPr>
        <w:pStyle w:val="BodyText"/>
      </w:pPr>
      <w:r>
        <w:t xml:space="preserve">Entry: Tech Experimentation (TE) event, apply 60 days out, demo on-site at SOFWERX facility in Tampa. If selected, CRADA + funded pilot within 180 days.</w:t>
      </w:r>
    </w:p>
    <w:bookmarkEnd w:id="23"/>
    <w:bookmarkStart w:id="24" w:name="diu-the-biggest-check-hardest-to-win"/>
    <w:p>
      <w:pPr>
        <w:pStyle w:val="Heading2"/>
      </w:pPr>
      <w:r>
        <w:t xml:space="preserve">DIU — the biggest check, hardest to win</w:t>
      </w:r>
    </w:p>
    <w:p>
      <w:pPr>
        <w:pStyle w:val="FirstParagraph"/>
      </w:pPr>
      <w:r>
        <w:t xml:space="preserve">DIU buys at scale but expects commercial-first. They fund prototype OTAs only when a company already has private revenue. Track this pathway for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seed round closes and there is paying pilot revenue.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LOIs in hand — 6 mo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provisional 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Dual-use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sport + military natural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to deploy in 12–24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seed closing — yes</w:t>
            </w:r>
          </w:p>
        </w:tc>
      </w:tr>
    </w:tbl>
    <w:bookmarkEnd w:id="24"/>
    <w:bookmarkStart w:id="25" w:name="dha-the-clinical-validation-play"/>
    <w:p>
      <w:pPr>
        <w:pStyle w:val="Heading2"/>
      </w:pPr>
      <w:r>
        <w:t xml:space="preserve">DHA — the clinical validation play</w:t>
      </w:r>
    </w:p>
    <w:p>
      <w:pPr>
        <w:pStyle w:val="FirstParagraph"/>
      </w:pPr>
      <w:r>
        <w:t xml:space="preserve">DHA funds clinical research on MSK injury reduction. Longer, but the output is peer-reviewed evidence that unlocks every downstream insurer and league deal. Target: Uniformed Services University (USUHS) + Consortium for Health and Military Performance (CHAMP).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54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Peer-reviewed paper — ROM/asymmetry predicts MSK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insurance licensing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Multi-site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in pro / collegiate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 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Credibility with strategics</w:t>
            </w:r>
          </w:p>
        </w:tc>
      </w:tr>
    </w:tbl>
    <w:bookmarkEnd w:id="25"/>
    <w:bookmarkStart w:id="26" w:name="military-specific-product-deltas"/>
    <w:p>
      <w:pPr>
        <w:pStyle w:val="Heading2"/>
      </w:pPr>
      <w:r>
        <w:t xml:space="preserve">Military-specific product deltas</w:t>
      </w:r>
    </w:p>
    <w:p>
      <w:pPr>
        <w:pStyle w:val="FirstParagraph"/>
      </w:pPr>
      <w:r>
        <w:t xml:space="preserve">The hardware ships identical. The protocol library and reporting ship different.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military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sport stretch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Tactical athlete baseline + unit-level aggregates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Team-level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Squadron / platoon readiness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AMS integration (Smartabase, Kitman)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 data standards — HL7, MHS GENESIS 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Per-athlete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Per-operator + anonymized unit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cloud (IL-4) or on-prem only</w:t>
            </w:r>
          </w:p>
        </w:tc>
      </w:tr>
    </w:tbl>
    <w:p>
      <w:pPr>
        <w:pStyle w:val="BodyText"/>
      </w:pPr>
      <w:r>
        <w:t xml:space="preserve">Minimal engineering lift. ~2 person-weeks of integration work per pathway.</w:t>
      </w:r>
    </w:p>
    <w:bookmarkEnd w:id="26"/>
    <w:bookmarkStart w:id="27" w:name="who-the-founder-has-to-meet"/>
    <w:p>
      <w:pPr>
        <w:pStyle w:val="Heading2"/>
      </w:pPr>
      <w:r>
        <w:t xml:space="preserve">Who the founder has to meet</w:t>
      </w:r>
    </w:p>
    <w:p>
      <w:pPr>
        <w:pStyle w:val="FirstParagraph"/>
      </w:pPr>
      <w:r>
        <w:t xml:space="preserve">SBIR pitches get won by relationships, not applications. Target list: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414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AFWERX 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Kirtland AFB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 Phase I customer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 program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validation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THOR3 strength coach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USSOCOM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Operator-level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SOCOM J9 innovation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MacDill AFB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CRADA 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SBIR consultant (e.g. DoD Mentor-Protégé 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authoring</w:t>
            </w:r>
          </w:p>
        </w:tc>
      </w:tr>
    </w:tbl>
    <w:p>
      <w:pPr>
        <w:pStyle w:val="BodyText"/>
      </w:pPr>
      <w:r>
        <w:t xml:space="preserve">Budget for travel: one trip to Tampa (SOFWERX), one to USUHS (Bethesda), one to Kirtland or Wright-Patt (AFWERX). ~$5K total. Single highest-ROI line item on the expense sheet.</w:t>
      </w:r>
    </w:p>
    <w:bookmarkEnd w:id="27"/>
    <w:bookmarkStart w:id="28" w:name="the-90-day-plan"/>
    <w:p>
      <w:pPr>
        <w:pStyle w:val="Heading2"/>
      </w:pPr>
      <w:r>
        <w:t xml:space="preserve">The 90-day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SAM.gov + DSIP registrations. Hire SBIR consultant on spec.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SOFWERX facility tour. Introduce to 1 AFWERX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AFWERX Open Topic Phase I proposal. Draft SOFWERX CRADA letter of intent.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AFWERX. Submit SOFWERX TE. Hold the line on commercial pilots in parallel.</w:t>
            </w:r>
          </w:p>
        </w:tc>
      </w:tr>
    </w:tbl>
    <w:bookmarkEnd w:id="28"/>
    <w:bookmarkStart w:id="29" w:name="what-this-does-for-the-seed-raise"/>
    <w:p>
      <w:pPr>
        <w:pStyle w:val="Heading2"/>
      </w:pPr>
      <w:r>
        <w:t xml:space="preserve">What this does for the seed raise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Narrative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$3M + $500K non-dilutive Phase 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Smarter capital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 sport + DoD parallel pathways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TAM, diversified buyer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DoD clinical validation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De-risked insurance licensing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Four buyer categories become five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Harder for competitors to catch up</w:t>
            </w:r>
          </w:p>
        </w:tc>
      </w:tr>
    </w:tbl>
    <w:bookmarkEnd w:id="29"/>
    <w:bookmarkStart w:id="30" w:name="the-one-sentence"/>
    <w:p>
      <w:pPr>
        <w:pStyle w:val="Heading2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DoD is non-dilutive capital, a clinical validation engine, and the largest MSK buyer in the country — pursue AFWERX and SOFWERX in parallel with the commercial pilots, not after them.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2026-04-23T19:53:30Z</dcterms:created>
  <dcterms:modified xsi:type="dcterms:W3CDTF">2026-04-23T19:53:30Z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