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2880" w:lineRule="auto"/>
        <w:jc w:val="center"/>
        <w:rPr/>
      </w:pPr>
      <w:r>
        <w:rPr>
          <w:b w:val="1"/>
          <w:bCs w:val="1"/>
          <w:color w:val="1f3864"/>
          <w:sz w:val="52"/>
          <w:szCs w:val="52"/>
          <w:rtl w:val="0"/>
        </w:rPr>
        <w:t xml:space="preserve">The Caucasian Hunter-Gatherer Linguistic World:</w:t>
      </w:r>
      <w:r>
        <w:rPr>
          <w:rtl w:val="0"/>
        </w:rPr>
      </w:r>
    </w:p>
    <w:p w:rsidR="00000000" w:rsidDel="00000000" w:rsidP="00000000" w:rsidRDefault="00000000" w:rsidRPr="00000000" w14:paraId="00000002">
      <w:pPr>
        <w:spacing w:after="400" w:lineRule="auto"/>
        <w:jc w:val="center"/>
        <w:rPr/>
      </w:pPr>
      <w:r>
        <w:rPr>
          <w:b w:val="1"/>
          <w:bCs w:val="1"/>
          <w:color w:val="2e5faa"/>
          <w:sz w:val="40"/>
          <w:szCs w:val="40"/>
          <w:rtl w:val="0"/>
        </w:rPr>
        <w:t xml:space="preserve">A Unified Hypothesis on the Origins of Hurro-Urartian,</w:t>
      </w:r>
      <w:r>
        <w:rPr>
          <w:rtl w:val="0"/>
        </w:rPr>
      </w:r>
    </w:p>
    <w:p w:rsidR="00000000" w:rsidDel="00000000" w:rsidP="00000000" w:rsidRDefault="00000000" w:rsidRPr="00000000" w14:paraId="00000003">
      <w:pPr>
        <w:spacing w:after="400" w:lineRule="auto"/>
        <w:jc w:val="center"/>
        <w:rPr/>
      </w:pPr>
      <w:r>
        <w:rPr>
          <w:b w:val="1"/>
          <w:bCs w:val="1"/>
          <w:color w:val="2e5faa"/>
          <w:sz w:val="40"/>
          <w:szCs w:val="40"/>
          <w:rtl w:val="0"/>
        </w:rPr>
        <w:t xml:space="preserve">Kartvelian and Tyrsenian Language Families</w:t>
      </w:r>
      <w:r>
        <w:rPr>
          <w:rtl w:val="0"/>
        </w:rPr>
      </w:r>
    </w:p>
    <w:p w:rsidR="00000000" w:rsidDel="00000000" w:rsidP="00000000" w:rsidRDefault="00000000" w:rsidRPr="00000000" w14:paraId="00000004">
      <w:pPr>
        <w:spacing w:after="200" w:before="600" w:lineRule="auto"/>
        <w:jc w:val="center"/>
        <w:rPr>
          <w:i w:val="1"/>
          <w:iCs w:val="1"/>
          <w:color w:val="555555"/>
          <w:sz w:val="28"/>
          <w:szCs w:val="28"/>
        </w:rPr>
      </w:pPr>
      <w:r>
        <w:rPr>
          <w:i w:val="1"/>
          <w:iCs w:val="1"/>
          <w:color w:val="555555"/>
          <w:sz w:val="28"/>
          <w:szCs w:val="28"/>
          <w:rtl w:val="0"/>
        </w:rPr>
        <w:t xml:space="preserve">A Multidisciplinary Study in Historical Linguistics and Archaeogenetics</w:t>
      </w:r>
    </w:p>
    <w:p w:rsidR="00000000" w:rsidDel="00000000" w:rsidP="00000000" w:rsidRDefault="00000000" w:rsidRPr="00000000" w14:paraId="00000005">
      <w:pPr>
        <w:spacing w:after="80" w:before="600" w:lineRule="auto"/>
        <w:jc w:val="center"/>
        <w:rPr>
          <w:b w:val="1"/>
          <w:bCs w:val="1"/>
          <w:color w:val="1f3864"/>
          <w:sz w:val="32"/>
          <w:szCs w:val="32"/>
        </w:rPr>
      </w:pPr>
      <w:r>
        <w:rPr>
          <w:b w:val="1"/>
          <w:bCs w:val="1"/>
          <w:color w:val="1f3864"/>
          <w:sz w:val="32"/>
          <w:szCs w:val="32"/>
          <w:rtl w:val="0"/>
        </w:rPr>
        <w:t xml:space="preserve">Václav Hrdonka</w:t>
      </w:r>
    </w:p>
    <w:p w:rsidR="00000000" w:rsidDel="00000000" w:rsidP="00000000" w:rsidRDefault="00000000" w:rsidRPr="00000000" w14:paraId="00000006">
      <w:pPr>
        <w:spacing w:after="80" w:before="240" w:lineRule="auto"/>
        <w:jc w:val="center"/>
        <w:rPr>
          <w:i w:val="1"/>
          <w:iCs w:val="1"/>
          <w:color w:val="555555"/>
        </w:rPr>
      </w:pPr>
      <w:r>
        <w:rPr>
          <w:i w:val="1"/>
          <w:iCs w:val="1"/>
          <w:color w:val="555555"/>
          <w:rtl w:val="0"/>
        </w:rPr>
        <w:t xml:space="preserve">Independent Researcher</w:t>
      </w:r>
    </w:p>
    <w:p w:rsidR="00000000" w:rsidDel="00000000" w:rsidP="00000000" w:rsidRDefault="00000000" w:rsidRPr="00000000" w14:paraId="00000007">
      <w:pPr>
        <w:spacing w:after="80" w:before="240" w:lineRule="auto"/>
        <w:jc w:val="center"/>
        <w:rPr>
          <w:color w:val="2e5faa"/>
        </w:rPr>
      </w:pPr>
      <w:r>
        <w:rPr>
          <w:color w:val="2e5faa"/>
          <w:rtl w:val="0"/>
        </w:rPr>
        <w:t xml:space="preserve">hrdonka@gmail.com</w:t>
      </w:r>
    </w:p>
    <w:p w:rsidR="00000000" w:rsidDel="00000000" w:rsidP="00000000" w:rsidRDefault="00000000" w:rsidRPr="00000000" w14:paraId="00000008">
      <w:pPr>
        <w:spacing w:after="500" w:before="240" w:lineRule="auto"/>
        <w:jc w:val="center"/>
        <w:rPr>
          <w:i w:val="1"/>
          <w:iCs w:val="1"/>
          <w:color w:val="555555"/>
        </w:rPr>
      </w:pPr>
      <w:r>
        <w:rPr>
          <w:i w:val="1"/>
          <w:iCs w:val="1"/>
          <w:color w:val="555555"/>
          <w:rtl w:val="0"/>
        </w:rPr>
        <w:t xml:space="preserve">February 2026</w:t>
      </w:r>
    </w:p>
    <w:p w:rsidR="00000000" w:rsidDel="00000000" w:rsidP="00000000" w:rsidRDefault="00000000" w:rsidRPr="00000000" w14:paraId="00000009">
      <w:pPr>
        <w:spacing w:after="200" w:before="1200" w:lineRule="auto"/>
        <w:jc w:val="center"/>
        <w:rPr>
          <w:i w:val="1"/>
          <w:iCs w:val="1"/>
          <w:color w:val="555555"/>
          <w:sz w:val="28"/>
          <w:szCs w:val="28"/>
        </w:rPr>
      </w:pPr>
      <w:r>
        <w:rPr>
          <w:b w:val="1"/>
          <w:bCs w:val="1"/>
          <w:sz w:val="28"/>
          <w:szCs w:val="28"/>
          <w:rtl w:val="0"/>
        </w:rPr>
        <w:t xml:space="preserve">Abstract</w:t>
      </w:r>
      <w:r>
        <w:rPr>
          <w:rtl w:val="0"/>
        </w:rPr>
      </w:r>
    </w:p>
    <w:p w:rsidR="00000000" w:rsidDel="00000000" w:rsidP="00000000" w:rsidRDefault="00000000" w:rsidRPr="00000000" w14:paraId="0000000A">
      <w:pPr>
        <w:spacing w:after="120" w:before="120" w:line="480" w:lineRule="auto"/>
        <w:ind w:left="720" w:right="720" w:firstLine="0"/>
        <w:jc w:val="both"/>
        <w:rPr/>
      </w:pPr>
      <w:r>
        <w:rPr>
          <w:sz w:val="24"/>
          <w:szCs w:val="24"/>
          <w:rtl w:val="0"/>
        </w:rPr>
        <w:t xml:space="preserve">This paper proposes a unified framework for understanding three ancient language families — Hurro-Urartian, Kartvelian, and Tyrsenian (Etruscan/Lemnian/Raetic) — as descendants of a common Caucasian Hunter-Gatherer (CHG) linguistic ancestor dating to the Mesolithic period. Drawing on comparative personal pronoun systems, grammatical architecture, phonological inventories, and recent archaeogenetic evidence, I argue that these families share a set of structural features — pure suffixing morphology, ergative-absolutive alignment, animacy-based nominal distinctions, Suffixaufnahme, and a five-vowel proto-system — that cannot be explained by chance or contact alone. I further propose that the Tyrsenian branch (proto-Etruscan/Pelasgian/Minoan) reached the Aegean during the Early Bronze Age Kura-Araxes expansion (c. 3100–2500 BC), with a western Anatolian community of this tradition subsequently migrating to Etruria around 700 BC during the archaeologically documented Orientalizing cultural transformation. I additionally incorporate Kassite as a probable eastern branch of the same CHG linguistic family, extending the CHG arc from the Zagros mountains in the east to the Italian peninsula in the west.</w:t>
      </w:r>
      <w:r>
        <w:rPr>
          <w:rtl w:val="0"/>
        </w:rPr>
      </w:r>
    </w:p>
    <w:p w:rsidR="00000000" w:rsidDel="00000000" w:rsidP="00000000" w:rsidRDefault="00000000" w:rsidRPr="00000000" w14:paraId="0000000B">
      <w:pPr>
        <w:rPr/>
      </w:pPr>
      <w:r>
        <w:br w:type="page"/>
      </w:r>
      <w:r>
        <w:rPr>
          <w:rtl w:val="0"/>
        </w:rPr>
      </w:r>
    </w:p>
    <w:p w:rsidR="00000000" w:rsidDel="00000000" w:rsidP="00000000" w:rsidRDefault="00000000" w:rsidRPr="00000000" w14:paraId="0000000C">
      <w:pPr>
        <w:pStyle w:val="Heading1"/>
        <w:rPr/>
      </w:pPr>
      <w:r>
        <w:rPr>
          <w:rtl w:val="0"/>
        </w:rPr>
        <w:t xml:space="preserve">1. Introduction</w:t>
      </w:r>
    </w:p>
    <w:p w:rsidR="00000000" w:rsidDel="00000000" w:rsidP="00000000" w:rsidRDefault="00000000" w:rsidRPr="00000000" w14:paraId="0000000D">
      <w:pPr>
        <w:spacing w:after="120" w:before="120" w:line="480" w:lineRule="auto"/>
        <w:rPr/>
      </w:pPr>
      <w:r>
        <w:rPr>
          <w:rtl w:val="0"/>
        </w:rPr>
        <w:t xml:space="preserve">The linguistic prehistory of the ancient Near East and Mediterranean remains one of the most contested areas of historical linguistics. Several language families and isolates — Hurro-Urartian, Kartvelian, Kassite, Minoan, and Etruscan — resist classification within any established macro-family and have long been treated as isolates or near-isolates. Standard comparative methodology, hampered by small corpora, poor attestation, and millennia of linguistic change, has struggled to identify genealogical relationships among these families.</w:t>
      </w:r>
    </w:p>
    <w:p w:rsidR="00000000" w:rsidDel="00000000" w:rsidP="00000000" w:rsidRDefault="00000000" w:rsidRPr="00000000" w14:paraId="0000000E">
      <w:pPr>
        <w:spacing w:after="120" w:before="120" w:line="480" w:lineRule="auto"/>
        <w:rPr/>
      </w:pPr>
      <w:r>
        <w:rPr>
          <w:rtl w:val="0"/>
        </w:rPr>
        <w:t xml:space="preserve">In parallel, a revolution in ancient DNA analysis has transformed our understanding of prehistoric population movements. Crucially, the identification of Caucasian Hunter-Gatherer (CHG) ancestry as a distinct and geographically coherent genetic component, present in high concentrations among Kartvelian-speaking populations and progressively decreasing westward and southward, provides a new framework for interpreting linguistic relationships. If language tends to follow population continuity over deep time, then the CHG genetic world — extending from the South Caucasus through the Armenian Highland and eastern Anatolia — should correspond to a CHG linguistic world.</w:t>
      </w:r>
    </w:p>
    <w:p w:rsidR="00000000" w:rsidDel="00000000" w:rsidP="00000000" w:rsidRDefault="00000000" w:rsidRPr="00000000" w14:paraId="0000000F">
      <w:pPr>
        <w:spacing w:after="120" w:before="120" w:line="480" w:lineRule="auto"/>
        <w:rPr/>
      </w:pPr>
      <w:r>
        <w:rPr>
          <w:rtl w:val="0"/>
        </w:rPr>
        <w:t xml:space="preserve">This paper develops and defends that hypothesis, proposing that Hurro-Urartian, Kartvelian, and Tyrsenian are all descendants of a common CHG Mesolithic ancestor, extended by the probable inclusion of Kassite as an eastern branch. I support this claim through four independent lines of evidence: personal pronoun comparison, grammatical structure, phonological inventory, and archaeogenetic data on population movements. I further integrate recent findings on the Kura-Araxes culture to propose a comprehensive model of how these language families reached their historical locations.</w:t>
      </w:r>
    </w:p>
    <w:p w:rsidR="00000000" w:rsidDel="00000000" w:rsidP="00000000" w:rsidRDefault="00000000" w:rsidRPr="00000000" w14:paraId="00000010">
      <w:pPr>
        <w:pStyle w:val="Heading1"/>
        <w:rPr/>
      </w:pPr>
      <w:r>
        <w:rPr>
          <w:rtl w:val="0"/>
        </w:rPr>
        <w:t xml:space="preserve">2. Background: The CHG Linguistic Hypothesis</w:t>
      </w:r>
    </w:p>
    <w:p w:rsidR="00000000" w:rsidDel="00000000" w:rsidP="00000000" w:rsidRDefault="00000000" w:rsidRPr="00000000" w14:paraId="00000011">
      <w:pPr>
        <w:pStyle w:val="Heading2"/>
        <w:rPr/>
      </w:pPr>
      <w:r>
        <w:rPr>
          <w:rtl w:val="0"/>
        </w:rPr>
        <w:t xml:space="preserve">2.1 Caucasian Hunter-Gatherers: Genetic Identity</w:t>
      </w:r>
    </w:p>
    <w:p w:rsidR="00000000" w:rsidDel="00000000" w:rsidP="00000000" w:rsidRDefault="00000000" w:rsidRPr="00000000" w14:paraId="00000012">
      <w:pPr>
        <w:spacing w:after="120" w:before="120" w:line="480" w:lineRule="auto"/>
        <w:rPr/>
      </w:pPr>
      <w:r>
        <w:rPr>
          <w:rtl w:val="0"/>
        </w:rPr>
        <w:t xml:space="preserve">CHG populations diverged from Western Hunter-Gatherers (WHG) probably during the Last Glacial Maximum, surviving in isolation in the South Caucasus refugium for millennia before being identified in the archaeogenetic record. Ancient DNA studies have shown that CHG ancestry is highest among modern Kartvelian-speaking populations, particularly western Georgians, who preserve the strongest genetic signal of this Mesolithic component. A landmark Bayesian phylogenetic study published in Scientific Reports (Gavashelishvili et al. 2023) confirms this deep continuity, placing the Kartvelian Urheimat in the Colchis glacial refugium of the western South Caucasus and demonstrating — through combined analysis of proto-Kartvelian wildlife vocabulary, archaeological biome distributions, and population genetics — that proto-Kartvelian was spoken in the South Caucasus by hunter-gatherers prior to the Neolithic, at least before 8000 BP and plausibly well before that. Critically, the study finds that CHG-related ancestry has been the dominant genetic component of South Caucasian populations continuously since at least Neolithic times, confirming that the Kartvelian linguistic tradition has deep pre-Neolithic roots in the region rather than being a later Neolithic or Bronze Age arrival (Gavashelishvili et al. 2023). CHG ancestry is also detectable in Armenian Highland populations, Anatolian Chalcolithic groups, and — crucially — in Early Bronze Age Aegean populations, where a measurable influx of CHG-related ancestry is documented beginning around 3100–2500 BC (Lazaridis et al. 2022).</w:t>
      </w:r>
    </w:p>
    <w:p w:rsidR="00000000" w:rsidDel="00000000" w:rsidP="00000000" w:rsidRDefault="00000000" w:rsidRPr="00000000" w14:paraId="00000013">
      <w:pPr>
        <w:spacing w:after="120" w:before="120" w:line="480" w:lineRule="auto"/>
        <w:rPr/>
      </w:pPr>
      <w:r>
        <w:rPr>
          <w:rtl w:val="0"/>
        </w:rPr>
        <w:t xml:space="preserve">The geographic distribution of CHG ancestry thus traces a broad arc from the Caucasus westward through Anatolia into the Aegean, and southward into the Zagros mountains of Iran. This arc corresponds strikingly with the distribution of the language families discussed in this paper.</w:t>
      </w:r>
    </w:p>
    <w:p w:rsidR="00000000" w:rsidDel="00000000" w:rsidP="00000000" w:rsidRDefault="00000000" w:rsidRPr="00000000" w14:paraId="00000014">
      <w:pPr>
        <w:pStyle w:val="Heading2"/>
        <w:rPr/>
      </w:pPr>
      <w:r>
        <w:rPr>
          <w:rtl w:val="0"/>
        </w:rPr>
        <w:t xml:space="preserve">2.1a The ANE Component and Deep-Time Linguistic Connections</w:t>
      </w:r>
    </w:p>
    <w:p w:rsidR="00000000" w:rsidDel="00000000" w:rsidP="00000000" w:rsidRDefault="00000000" w:rsidRPr="00000000" w14:paraId="00000015">
      <w:pPr>
        <w:spacing w:after="120" w:before="120" w:line="480" w:lineRule="auto"/>
        <w:rPr/>
      </w:pPr>
      <w:r>
        <w:rPr>
          <w:rtl w:val="0"/>
        </w:rPr>
        <w:t xml:space="preserve">The CHG genetic profile was not formed in complete isolation. Crucially, CHG populations carry approximately 10% Ancient North Eurasian (ANE) ancestry component — a gene flow arriving from the north, from populations related to Upper Palaeolithic Siberians of south Siberia or central Asia, most closely represented by the AfontovaGora3 individual from Lake Baikal (~17,000 BP). This ANE component is attested already in the oldest CHG individual: the Satsurblia cave specimen from western Georgia dated to approximately 13,300 BP, which represents the oldest fully formed CHG genetic profile and is genetically closest to modern South Caucasian (Kartvelian-speaking) populations (Jones et al. 2015). The Kotias Klde specimen dated to ~9,700 BP confirms continuity of this profile through the Mesolithic.</w:t>
      </w:r>
    </w:p>
    <w:p w:rsidR="00000000" w:rsidDel="00000000" w:rsidP="00000000" w:rsidRDefault="00000000" w:rsidRPr="00000000" w14:paraId="00000016">
      <w:pPr>
        <w:spacing w:after="120" w:before="120" w:line="480" w:lineRule="auto"/>
        <w:rPr/>
      </w:pPr>
      <w:r>
        <w:rPr>
          <w:rtl w:val="0"/>
        </w:rPr>
        <w:t xml:space="preserve">This ANE gene flow from the north into the CHG world has significant linguistic implications. ANE-related ancestry is also the major component of Eastern Hunter-Gatherers (EHG), who are the primary genetic substrate of proto-Uralic populations. The presence of ANE ancestry in the CHG world — documented already at 13,300 BP — means that CHG and EHG populations shared a common ancient genetic thread reaching back to Upper Palaeolithic Siberian populations. This shared ancestry provides a plausible mechanism for the deep-time linguistic similarities observed between the CHG language families (particularly the M-T pronoun pattern) and proto-Uralic and proto-Indo-European: these resemblances may reflect an ancient common ancestor or prolonged contact zone between ANE-derived populations in the north and CHG populations in the south Caucasus, predating both the Neolithic and the formation of the modern language families. The Caucasus mountains thus functioned not as a barrier but as a corridor connecting the CHG world with the northern Eurasian linguistic sphere in deep prehistory (Mattiangeli et al. 2019).</w:t>
      </w:r>
    </w:p>
    <w:p w:rsidR="00000000" w:rsidDel="00000000" w:rsidP="00000000" w:rsidRDefault="00000000" w:rsidRPr="00000000" w14:paraId="00000017">
      <w:pPr>
        <w:pStyle w:val="Heading2"/>
        <w:rPr/>
      </w:pPr>
      <w:r>
        <w:rPr>
          <w:rtl w:val="0"/>
        </w:rPr>
        <w:t xml:space="preserve">2.2 The Families Under Discussion</w:t>
      </w:r>
    </w:p>
    <w:p w:rsidR="00000000" w:rsidDel="00000000" w:rsidP="00000000" w:rsidRDefault="00000000" w:rsidRPr="00000000" w14:paraId="00000018">
      <w:pPr>
        <w:spacing w:after="120" w:before="120" w:line="480" w:lineRule="auto"/>
        <w:rPr/>
      </w:pPr>
      <w:r>
        <w:rPr>
          <w:rtl w:val="0"/>
        </w:rPr>
        <w:t xml:space="preserve">Hurro-Urartian (HU) is an extinct family comprising Hurrian (attested c. 2300–1200 BC across northern Mesopotamia and the Armenian Highland) and Urartian (attested c. 900–600 BC in the Van region). The family is morphologically agglutinative, strictly suffixing, and ergative-absolutive in alignment. It has long been treated as a language isolate, with proposed connections to Northeast Caucasian (the 'Alarodian' hypothesis) remaining controversial.</w:t>
      </w:r>
    </w:p>
    <w:p w:rsidR="00000000" w:rsidDel="00000000" w:rsidP="00000000" w:rsidRDefault="00000000" w:rsidRPr="00000000" w14:paraId="00000019">
      <w:pPr>
        <w:spacing w:after="120" w:before="120" w:line="480" w:lineRule="auto"/>
        <w:rPr/>
      </w:pPr>
      <w:r>
        <w:rPr>
          <w:rtl w:val="0"/>
        </w:rPr>
        <w:t xml:space="preserve">Kartvelian is the sole surviving Caucasian family with unambiguous CHG genetic association. It comprises Georgian, Mingrelian, Laz, Svan, and several other languages spoken in the Republic of Georgia and neighboring areas. Proto-Kartvelian is reconstructed with a five-vowel system, a three-way stop contrast (voiced/voiceless/ejective), and a rich case system. Verbs are polypersonal and both prefix- and suffix-based.</w:t>
      </w:r>
    </w:p>
    <w:p w:rsidR="00000000" w:rsidDel="00000000" w:rsidP="00000000" w:rsidRDefault="00000000" w:rsidRPr="00000000" w14:paraId="0000001A">
      <w:pPr>
        <w:spacing w:after="120" w:before="120" w:line="480" w:lineRule="auto"/>
        <w:rPr/>
      </w:pPr>
      <w:r>
        <w:rPr>
          <w:rtl w:val="0"/>
        </w:rPr>
        <w:t xml:space="preserve">Tyrsenian is the proposed family comprising Etruscan (Italy, c. 700–100 BC), Lemnian (Aegean island of Lemnos, c. 600 BC), and Raetic (Alps, c. 500–100 BC). All three share distinctive case endings, verbal morphology, and a four-vowel system. Etruscan is the best-attested member with over 10,000 inscriptions. Lemnian is known from only two main inscriptions and scattered graffiti.</w:t>
      </w:r>
    </w:p>
    <w:p w:rsidR="00000000" w:rsidDel="00000000" w:rsidP="00000000" w:rsidRDefault="00000000" w:rsidRPr="00000000" w14:paraId="0000001B">
      <w:pPr>
        <w:pStyle w:val="Heading1"/>
        <w:rPr/>
      </w:pPr>
      <w:r>
        <w:rPr>
          <w:rtl w:val="0"/>
        </w:rPr>
        <w:t xml:space="preserve">3. Personal Pronoun Comparison</w:t>
      </w:r>
    </w:p>
    <w:p w:rsidR="00000000" w:rsidDel="00000000" w:rsidP="00000000" w:rsidRDefault="00000000" w:rsidRPr="00000000" w14:paraId="0000001C">
      <w:pPr>
        <w:pStyle w:val="Heading2"/>
        <w:rPr/>
      </w:pPr>
      <w:r>
        <w:rPr>
          <w:rtl w:val="0"/>
        </w:rPr>
        <w:t xml:space="preserve">3.1 The M-T Pronominal Zone</w:t>
      </w:r>
    </w:p>
    <w:p w:rsidR="00000000" w:rsidDel="00000000" w:rsidP="00000000" w:rsidRDefault="00000000" w:rsidRPr="00000000" w14:paraId="0000001D">
      <w:pPr>
        <w:spacing w:after="120" w:before="120" w:line="480" w:lineRule="auto"/>
        <w:rPr/>
      </w:pPr>
      <w:r>
        <w:rPr>
          <w:rtl w:val="0"/>
        </w:rPr>
        <w:t xml:space="preserve">One of the most informative typological features in Eurasian linguistics is the distribution of the so-called M-T pronoun pattern, in which the first person singular pronoun is built on the consonant *m and the second person singular on *t. This pattern is shared by Proto-Indo-European (*me- / *tu-), Proto-Uralic (*mi / *ti), Proto-Kartvelian (*men / *sen), and Etruscan (*mi / *un). Its distribution across geographically dispersed families suggests either deep common ancestry or an ancient areal feature of Mesolithic Eurasia, possibly originating at the CHG-EHG (Eastern Hunter-Gatherer) contact zone north of the Caucasus.</w:t>
      </w:r>
    </w:p>
    <w:p w:rsidR="00000000" w:rsidDel="00000000" w:rsidP="00000000" w:rsidRDefault="00000000" w:rsidRPr="00000000" w14:paraId="0000001E">
      <w:pPr>
        <w:rPr/>
      </w:pPr>
      <w:r>
        <w:rPr>
          <w:rtl w:val="0"/>
        </w:rPr>
      </w:r>
    </w:p>
    <w:tbl>
      <w:tblPr>
        <w:tblStyle w:val="Table1"/>
        <w:tblW w:w="88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4"/>
        <w:gridCol w:w="1908"/>
        <w:gridCol w:w="947"/>
        <w:gridCol w:w="1401"/>
        <w:gridCol w:w="1094"/>
        <w:gridCol w:w="1268"/>
        <w:gridCol w:w="1227"/>
        <w:tblGridChange w:id="0">
          <w:tblGrid>
            <w:gridCol w:w="1054"/>
            <w:gridCol w:w="1908"/>
            <w:gridCol w:w="947"/>
            <w:gridCol w:w="1401"/>
            <w:gridCol w:w="1094"/>
            <w:gridCol w:w="1268"/>
            <w:gridCol w:w="1227"/>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tcPr>
          <w:p w:rsidR="00000000" w:rsidDel="00000000" w:rsidP="00000000" w:rsidRDefault="00000000" w:rsidRPr="00000000" w14:paraId="0000001F">
            <w:pPr>
              <w:rPr/>
            </w:pPr>
            <w:r>
              <w:rPr>
                <w:b w:val="1"/>
                <w:bCs w:val="1"/>
                <w:color w:val="ffffff"/>
                <w:rtl w:val="0"/>
              </w:rPr>
              <w:t xml:space="preserve">Person</w:t>
            </w:r>
            <w:r>
              <w:rPr>
                <w:rtl w:val="0"/>
              </w:rPr>
            </w:r>
          </w:p>
        </w:tc>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tcPr>
          <w:p w:rsidR="00000000" w:rsidDel="00000000" w:rsidP="00000000" w:rsidRDefault="00000000" w:rsidRPr="00000000" w14:paraId="00000020">
            <w:pPr>
              <w:rPr/>
            </w:pPr>
            <w:r>
              <w:rPr>
                <w:b w:val="1"/>
                <w:bCs w:val="1"/>
                <w:color w:val="ffffff"/>
                <w:rtl w:val="0"/>
              </w:rPr>
              <w:t xml:space="preserve">PIE</w:t>
            </w:r>
            <w:r>
              <w:rPr>
                <w:rtl w:val="0"/>
              </w:rPr>
            </w:r>
          </w:p>
        </w:tc>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tcPr>
          <w:p w:rsidR="00000000" w:rsidDel="00000000" w:rsidP="00000000" w:rsidRDefault="00000000" w:rsidRPr="00000000" w14:paraId="00000021">
            <w:pPr>
              <w:rPr/>
            </w:pPr>
            <w:r>
              <w:rPr>
                <w:b w:val="1"/>
                <w:bCs w:val="1"/>
                <w:color w:val="ffffff"/>
                <w:rtl w:val="0"/>
              </w:rPr>
              <w:t xml:space="preserve">Proto-Uralic</w:t>
            </w:r>
            <w:r>
              <w:rPr>
                <w:rtl w:val="0"/>
              </w:rPr>
            </w:r>
          </w:p>
        </w:tc>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tcPr>
          <w:p w:rsidR="00000000" w:rsidDel="00000000" w:rsidP="00000000" w:rsidRDefault="00000000" w:rsidRPr="00000000" w14:paraId="00000022">
            <w:pPr>
              <w:rPr/>
            </w:pPr>
            <w:r>
              <w:rPr>
                <w:b w:val="1"/>
                <w:bCs w:val="1"/>
                <w:color w:val="ffffff"/>
                <w:rtl w:val="0"/>
              </w:rPr>
              <w:t xml:space="preserve">Proto-Kartvelian</w:t>
            </w:r>
            <w:r>
              <w:rPr>
                <w:rtl w:val="0"/>
              </w:rPr>
            </w:r>
          </w:p>
        </w:tc>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tcPr>
          <w:p w:rsidR="00000000" w:rsidDel="00000000" w:rsidP="00000000" w:rsidRDefault="00000000" w:rsidRPr="00000000" w14:paraId="00000023">
            <w:pPr>
              <w:rPr/>
            </w:pPr>
            <w:r>
              <w:rPr>
                <w:b w:val="1"/>
                <w:bCs w:val="1"/>
                <w:color w:val="ffffff"/>
                <w:rtl w:val="0"/>
              </w:rPr>
              <w:t xml:space="preserve">Hurrian</w:t>
            </w:r>
            <w:r>
              <w:rPr>
                <w:rtl w:val="0"/>
              </w:rPr>
            </w:r>
          </w:p>
        </w:tc>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tcPr>
          <w:p w:rsidR="00000000" w:rsidDel="00000000" w:rsidP="00000000" w:rsidRDefault="00000000" w:rsidRPr="00000000" w14:paraId="00000024">
            <w:pPr>
              <w:rPr/>
            </w:pPr>
            <w:r>
              <w:rPr>
                <w:b w:val="1"/>
                <w:bCs w:val="1"/>
                <w:color w:val="ffffff"/>
                <w:rtl w:val="0"/>
              </w:rPr>
              <w:t xml:space="preserve">Etruscan</w:t>
            </w:r>
            <w:r>
              <w:rPr>
                <w:rtl w:val="0"/>
              </w:rPr>
            </w:r>
          </w:p>
        </w:tc>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tcPr>
          <w:p w:rsidR="00000000" w:rsidDel="00000000" w:rsidP="00000000" w:rsidRDefault="00000000" w:rsidRPr="00000000" w14:paraId="00000025">
            <w:pPr>
              <w:rPr/>
            </w:pPr>
            <w:r>
              <w:rPr>
                <w:b w:val="1"/>
                <w:bCs w:val="1"/>
                <w:color w:val="ffffff"/>
                <w:rtl w:val="0"/>
              </w:rPr>
              <w:t xml:space="preserve">Lemnian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26">
            <w:pPr>
              <w:rPr/>
            </w:pPr>
            <w:r>
              <w:rPr>
                <w:rtl w:val="0"/>
              </w:rPr>
              <w:t xml:space="preserve">1sg</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27">
            <w:pPr>
              <w:rPr/>
            </w:pPr>
            <w:r>
              <w:rPr>
                <w:rtl w:val="0"/>
              </w:rPr>
              <w:t xml:space="preserve">*egh / *me-</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28">
            <w:pPr>
              <w:rPr/>
            </w:pPr>
            <w:r>
              <w:rPr>
                <w:rtl w:val="0"/>
              </w:rPr>
              <w:t xml:space="preserve">*mi</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29">
            <w:pPr>
              <w:rPr/>
            </w:pPr>
            <w:r>
              <w:rPr>
                <w:rtl w:val="0"/>
              </w:rPr>
              <w:t xml:space="preserve">*men</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2A">
            <w:pPr>
              <w:rPr/>
            </w:pPr>
            <w:r>
              <w:rPr>
                <w:rtl w:val="0"/>
              </w:rPr>
              <w:t xml:space="preserve">*iste/isti</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2B">
            <w:pPr>
              <w:rPr/>
            </w:pPr>
            <w:r>
              <w:rPr>
                <w:rtl w:val="0"/>
              </w:rPr>
              <w:t xml:space="preserve">*mi</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2C">
            <w:pPr>
              <w:rPr/>
            </w:pPr>
            <w:r>
              <w:rPr>
                <w:rtl w:val="0"/>
              </w:rPr>
              <w:t xml:space="preserve">*amoi-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Pr>
                <w:rtl w:val="0"/>
              </w:rPr>
              <w:t xml:space="preserve">2sg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Pr>
                <w:rtl w:val="0"/>
              </w:rPr>
              <w:t xml:space="preserve">*tu- / *te-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Pr>
                <w:rtl w:val="0"/>
              </w:rPr>
              <w:t xml:space="preserve">*ti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Pr>
                <w:rtl w:val="0"/>
              </w:rPr>
              <w:t xml:space="preserve">*sen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Pr>
                <w:rtl w:val="0"/>
              </w:rPr>
              <w:t xml:space="preserve">*fe/ve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Pr>
                <w:rtl w:val="0"/>
              </w:rPr>
              <w:t xml:space="preserve">*un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34">
            <w:pPr>
              <w:rPr/>
            </w:pPr>
            <w:r>
              <w:rPr>
                <w:rtl w:val="0"/>
              </w:rPr>
              <w:t xml:space="preserve">3sg</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35">
            <w:pPr>
              <w:rPr/>
            </w:pPr>
            <w:r>
              <w:rPr>
                <w:rtl w:val="0"/>
              </w:rPr>
              <w:t xml:space="preserve">(demonstrative)</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36">
            <w:pPr>
              <w:rPr/>
            </w:pPr>
            <w:r>
              <w:rPr>
                <w:rtl w:val="0"/>
              </w:rPr>
              <w:t xml:space="preserve">*se/ta</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37">
            <w:pPr>
              <w:rPr/>
            </w:pPr>
            <w:r>
              <w:rPr>
                <w:rtl w:val="0"/>
              </w:rPr>
              <w:t xml:space="preserve">*ima / *ege</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38">
            <w:pPr>
              <w:rPr/>
            </w:pPr>
            <w:r>
              <w:rPr>
                <w:rtl w:val="0"/>
              </w:rPr>
              <w:t xml:space="preserve">*ane</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39">
            <w:pPr>
              <w:rPr/>
            </w:pPr>
            <w:r>
              <w:rPr>
                <w:rtl w:val="0"/>
              </w:rPr>
              <w:t xml:space="preserve">*eca/ica</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3A">
            <w:pPr>
              <w:rPr/>
            </w:pPr>
            <w:r>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Pr>
                <w:rtl w:val="0"/>
              </w:rPr>
              <w:t xml:space="preserve">1pl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Pr>
                <w:rtl w:val="0"/>
              </w:rPr>
              <w:t xml:space="preserve">*nos / *we-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Pr>
                <w:rtl w:val="0"/>
              </w:rPr>
              <w:t xml:space="preserve">*me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Pr>
                <w:rtl w:val="0"/>
              </w:rPr>
              <w:t xml:space="preserve">*cwen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Pr>
                <w:rtl w:val="0"/>
              </w:rPr>
              <w:t xml:space="preserve">*istena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Pr>
                <w:rtl w:val="0"/>
              </w:rPr>
              <w:t xml:space="preserve">*eni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42">
            <w:pPr>
              <w:rPr/>
            </w:pPr>
            <w:r>
              <w:rPr>
                <w:rtl w:val="0"/>
              </w:rPr>
              <w:t xml:space="preserve">2pl</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43">
            <w:pPr>
              <w:rPr/>
            </w:pPr>
            <w:r>
              <w:rPr>
                <w:rtl w:val="0"/>
              </w:rPr>
              <w:t xml:space="preserve">*yu- / *wos</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44">
            <w:pPr>
              <w:rPr/>
            </w:pPr>
            <w:r>
              <w:rPr>
                <w:rtl w:val="0"/>
              </w:rPr>
              <w:t xml:space="preserve">*te</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45">
            <w:pPr>
              <w:rPr/>
            </w:pPr>
            <w:r>
              <w:rPr>
                <w:rtl w:val="0"/>
              </w:rPr>
              <w:t xml:space="preserve">*tkwen</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46">
            <w:pPr>
              <w:rPr/>
            </w:pPr>
            <w:r>
              <w:rPr>
                <w:rtl w:val="0"/>
              </w:rPr>
              <w:t xml:space="preserve">*fena</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47">
            <w:pPr>
              <w:rPr/>
            </w:pPr>
            <w:r>
              <w:rPr>
                <w:rtl w:val="0"/>
              </w:rPr>
              <w:t xml:space="preserve">*-</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48">
            <w:pPr>
              <w:rPr/>
            </w:pPr>
            <w:r>
              <w:rPr>
                <w:rtl w:val="0"/>
              </w:rPr>
              <w:t xml:space="preserve">*-</w:t>
            </w:r>
          </w:p>
        </w:tc>
      </w:tr>
    </w:tbl>
    <w:p w:rsidR="00000000" w:rsidDel="00000000" w:rsidP="00000000" w:rsidRDefault="00000000" w:rsidRPr="00000000" w14:paraId="00000049">
      <w:pPr>
        <w:rPr/>
      </w:pPr>
      <w:r>
        <w:rPr>
          <w:rtl w:val="0"/>
        </w:rPr>
      </w:r>
    </w:p>
    <w:p w:rsidR="00000000" w:rsidDel="00000000" w:rsidP="00000000" w:rsidRDefault="00000000" w:rsidRPr="00000000" w14:paraId="0000004A">
      <w:pPr>
        <w:pStyle w:val="Heading2"/>
        <w:rPr/>
      </w:pPr>
      <w:r>
        <w:rPr>
          <w:rtl w:val="0"/>
        </w:rPr>
        <w:t xml:space="preserve">3.2 Kartvelian and Etruscan: The Exact Match</w:t>
      </w:r>
    </w:p>
    <w:p w:rsidR="00000000" w:rsidDel="00000000" w:rsidP="00000000" w:rsidRDefault="00000000" w:rsidRPr="00000000" w14:paraId="0000004B">
      <w:pPr>
        <w:spacing w:after="120" w:before="120" w:line="480" w:lineRule="auto"/>
        <w:rPr/>
      </w:pPr>
      <w:r>
        <w:rPr>
          <w:rtl w:val="0"/>
        </w:rPr>
        <w:t xml:space="preserve">The most striking pronominal correspondence in the entire comparison is between Etruscan and Kartvelian. The Etruscan first person singular pronoun *mi is attested on hundreds of objects and corresponds exactly to Svan *mi and Georgian *me (reduced from *men). The Etruscan third person singular *eca corresponds to Svan *eja and Georgian *ege/igi. This is not a superficial resemblance — both languages use these same roots in identical grammatical functions. Their presence in both families is most parsimoniously explained by common CHG ancestry, rather than by contact, given the geographic separation between Etruria and the Caucasus.</w:t>
      </w:r>
    </w:p>
    <w:p w:rsidR="00000000" w:rsidDel="00000000" w:rsidP="00000000" w:rsidRDefault="00000000" w:rsidRPr="00000000" w14:paraId="0000004C">
      <w:pPr>
        <w:pStyle w:val="Heading2"/>
        <w:rPr/>
      </w:pPr>
      <w:r>
        <w:rPr>
          <w:rtl w:val="0"/>
        </w:rPr>
        <w:t xml:space="preserve">3.3 Hurrian as the Anomaly: A Post-Split Contact Event</w:t>
      </w:r>
    </w:p>
    <w:p w:rsidR="00000000" w:rsidDel="00000000" w:rsidP="00000000" w:rsidRDefault="00000000" w:rsidRPr="00000000" w14:paraId="0000004D">
      <w:pPr>
        <w:spacing w:after="120" w:before="120" w:line="480" w:lineRule="auto"/>
        <w:rPr/>
      </w:pPr>
      <w:r>
        <w:rPr>
          <w:rtl w:val="0"/>
        </w:rPr>
        <w:t xml:space="preserve">Hurrian's pronoun system — 1sg *iste, 2sg *fe/ve, 3sg *ane — matches none of the other families in this study. The 1sg *iste has no parallel in any Caucasian or Eurasiatic family. The 2sg *fe/ve with a labiodental initial is typologically unusual globally. This pronominal isolation is best explained not by Hurrian being an unrelated language, but by a contact event in which an unattested language replaced the original CHG-derived M-T pronouns of proto-Hurrian, while leaving the deeper structural skeleton (suffixing morphology, ergativity, Suffixaufnahme) intact.</w:t>
      </w:r>
    </w:p>
    <w:p w:rsidR="00000000" w:rsidDel="00000000" w:rsidP="00000000" w:rsidRDefault="00000000" w:rsidRPr="00000000" w14:paraId="0000004E">
      <w:pPr>
        <w:spacing w:after="120" w:before="120" w:line="480" w:lineRule="auto"/>
        <w:rPr/>
      </w:pPr>
      <w:r>
        <w:rPr>
          <w:rtl w:val="0"/>
        </w:rPr>
        <w:t xml:space="preserve">Critically, this pronominal replacement must have occurred after the split of proto-HU from proto-Tyrsenian — that is, after approximately 3500 BC — because Tyrsenian (Etruscan) preserves the M-T pronoun (*mi 'I') that Hurrian has lost. Had the contact event predated the HU-Tyrsenian split, Tyrsenian would also have lost its M-T pronouns. The fact that it did not implies that the unknown contact language encountered proto-Hurrian specifically in the Armenian Highland, after proto-Tyrsenian had already departed westward toward the Aegean. The most likely candidates for this contact language are either a now-extinct Caucasian family from the northeastern Caucasus, or an unknown population of the Armenian Highland that has left no surviving linguistic descendants. The parallel with Proto-Indo-European is instructive: PIE similarly preserved an Eurasiatic/Uralic pronominal substrate (the M-T pattern) while acquiring NW Caucasian phonological features through contact — a hybrid formation process that produced a language whose mixed ancestry resists clean genealogical classification. Proto-Hurrian underwent an analogous process in reverse: it retained CHG structural features while losing CHG pronouns through contact, producing a language that looks like an isolate to traditional classification.</w:t>
      </w:r>
    </w:p>
    <w:p w:rsidR="00000000" w:rsidDel="00000000" w:rsidP="00000000" w:rsidRDefault="00000000" w:rsidRPr="00000000" w14:paraId="0000004F">
      <w:pPr>
        <w:spacing w:after="120" w:before="120" w:line="480" w:lineRule="auto"/>
        <w:rPr/>
      </w:pPr>
      <w:r>
        <w:rPr>
          <w:rFonts w:ascii="Times New Roman" w:cs="Times New Roman" w:eastAsia="Times New Roman" w:hAnsi="Times New Roman"/>
          <w:rtl w:val="0"/>
        </w:rPr>
        <w:t xml:space="preserve">An alternative explanation — requiring no external contact — merits serious consideration. Examining the Hurrian paradigm closely reveals a striking internal regularity: 1sg *isti* and 1pl *istena* share the same root, as do 2sg *fe* and 2pl *fena*. The plural forms are simply the singular stem plus the Hurrian animate plural suffix *-na*, which is the same suffix used productively across all animate nouns in the language. This pattern — absent in Kartvelian, where singular and plural pronoun roots are suppletive — suggests a possible internal mechanism: at some point in proto-HU history, the pronominal plural forms were rebuilt by productively attaching *-na* to some available stems (perhaps demonstratives or other deictic elements). Once those new plural forms (*istena, fena*) became established, analogical back-formation pressure — widely attested in agglutinative languages — generated new singular forms by stripping the familiar *-na* suffix: *istena* → *isti*, *fena* → *fe*. The original M-T singulars (*men, sen*) were then displaced by these internally derived forms. Both steps — productive extension of a nominal plural suffix into the pronominal paradigm, and back-formation of singular stems from plurals — are individually well-attested mechanisms of language-internal change, and their combination requires no borrowing from an unknown source language. This hypothesis is further supported by the fact that the Hurrian plural pronouns preserve a closer phonological relationship to the Kartvelian plurals (*cwen, tkwen*) than the singulars do, consistent with the plurals being the more conservative forms. The two hypotheses — external contact replacement and internal back-formation — are not mutually exclusive; a period of language contact could have facilitated the paradigm restructuring even if the specific forms were internally generated.</w:t>
      </w:r>
    </w:p>
    <w:p w:rsidR="00000000" w:rsidDel="00000000" w:rsidP="00000000" w:rsidRDefault="00000000" w:rsidRPr="00000000" w14:paraId="00000050">
      <w:pPr>
        <w:pStyle w:val="Heading1"/>
        <w:rPr/>
      </w:pPr>
      <w:r>
        <w:rPr>
          <w:rtl w:val="0"/>
        </w:rPr>
        <w:t xml:space="preserve">4. Grammatical Structure Comparison</w:t>
      </w:r>
    </w:p>
    <w:p w:rsidR="00000000" w:rsidDel="00000000" w:rsidP="00000000" w:rsidRDefault="00000000" w:rsidRPr="00000000" w14:paraId="00000051">
      <w:pPr>
        <w:pStyle w:val="Heading2"/>
        <w:rPr/>
      </w:pPr>
      <w:r>
        <w:rPr>
          <w:rtl w:val="0"/>
        </w:rPr>
        <w:t xml:space="preserve">4.1 Core Typological Features</w:t>
      </w:r>
    </w:p>
    <w:p w:rsidR="00000000" w:rsidDel="00000000" w:rsidP="00000000" w:rsidRDefault="00000000" w:rsidRPr="00000000" w14:paraId="00000052">
      <w:pPr>
        <w:rPr/>
      </w:pPr>
      <w:r>
        <w:rPr>
          <w:rtl w:val="0"/>
        </w:rPr>
      </w:r>
    </w:p>
    <w:tbl>
      <w:tblPr>
        <w:tblStyle w:val="Table2"/>
        <w:tblW w:w="93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2205"/>
        <w:gridCol w:w="1649"/>
        <w:gridCol w:w="2205"/>
        <w:gridCol w:w="1514"/>
        <w:tblGridChange w:id="0">
          <w:tblGrid>
            <w:gridCol w:w="1785"/>
            <w:gridCol w:w="2205"/>
            <w:gridCol w:w="1649"/>
            <w:gridCol w:w="2205"/>
            <w:gridCol w:w="1514"/>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tcPr>
          <w:p w:rsidR="00000000" w:rsidDel="00000000" w:rsidP="00000000" w:rsidRDefault="00000000" w:rsidRPr="00000000" w14:paraId="00000053">
            <w:pPr>
              <w:rPr/>
            </w:pPr>
            <w:r>
              <w:rPr>
                <w:b w:val="1"/>
                <w:bCs w:val="1"/>
                <w:color w:val="ffffff"/>
                <w:rtl w:val="0"/>
              </w:rPr>
              <w:t xml:space="preserve">Feature</w:t>
            </w:r>
            <w:r>
              <w:rPr>
                <w:rtl w:val="0"/>
              </w:rPr>
            </w:r>
          </w:p>
        </w:tc>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tcPr>
          <w:p w:rsidR="00000000" w:rsidDel="00000000" w:rsidP="00000000" w:rsidRDefault="00000000" w:rsidRPr="00000000" w14:paraId="00000054">
            <w:pPr>
              <w:rPr/>
            </w:pPr>
            <w:r>
              <w:rPr>
                <w:b w:val="1"/>
                <w:bCs w:val="1"/>
                <w:color w:val="ffffff"/>
                <w:rtl w:val="0"/>
              </w:rPr>
              <w:t xml:space="preserve">Hurro-Urartian</w:t>
            </w:r>
            <w:r>
              <w:rPr>
                <w:rtl w:val="0"/>
              </w:rPr>
            </w:r>
          </w:p>
        </w:tc>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tcPr>
          <w:p w:rsidR="00000000" w:rsidDel="00000000" w:rsidP="00000000" w:rsidRDefault="00000000" w:rsidRPr="00000000" w14:paraId="00000055">
            <w:pPr>
              <w:rPr/>
            </w:pPr>
            <w:r>
              <w:rPr>
                <w:b w:val="1"/>
                <w:bCs w:val="1"/>
                <w:color w:val="ffffff"/>
                <w:rtl w:val="0"/>
              </w:rPr>
              <w:t xml:space="preserve">Kartvelian</w:t>
            </w:r>
            <w:r>
              <w:rPr>
                <w:rtl w:val="0"/>
              </w:rPr>
            </w:r>
          </w:p>
        </w:tc>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tcPr>
          <w:p w:rsidR="00000000" w:rsidDel="00000000" w:rsidP="00000000" w:rsidRDefault="00000000" w:rsidRPr="00000000" w14:paraId="00000056">
            <w:pPr>
              <w:rPr/>
            </w:pPr>
            <w:r>
              <w:rPr>
                <w:b w:val="1"/>
                <w:bCs w:val="1"/>
                <w:color w:val="ffffff"/>
                <w:rtl w:val="0"/>
              </w:rPr>
              <w:t xml:space="preserve">Tyrsenian</w:t>
            </w:r>
            <w:r>
              <w:rPr>
                <w:rtl w:val="0"/>
              </w:rPr>
            </w:r>
          </w:p>
        </w:tc>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tcPr>
          <w:p w:rsidR="00000000" w:rsidDel="00000000" w:rsidP="00000000" w:rsidRDefault="00000000" w:rsidRPr="00000000" w14:paraId="00000057">
            <w:pPr>
              <w:rPr/>
            </w:pPr>
            <w:r>
              <w:rPr>
                <w:b w:val="1"/>
                <w:bCs w:val="1"/>
                <w:color w:val="ffffff"/>
                <w:rtl w:val="0"/>
              </w:rPr>
              <w:t xml:space="preserve">Kassite (inferred)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58">
            <w:pPr>
              <w:rPr/>
            </w:pPr>
            <w:r>
              <w:rPr>
                <w:rtl w:val="0"/>
              </w:rPr>
              <w:t xml:space="preserve">Morphological type</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59">
            <w:pPr>
              <w:rPr/>
            </w:pPr>
            <w:r>
              <w:rPr>
                <w:rtl w:val="0"/>
              </w:rPr>
              <w:t xml:space="preserve">Agglutinative</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5A">
            <w:pPr>
              <w:rPr/>
            </w:pPr>
            <w:r>
              <w:rPr>
                <w:rtl w:val="0"/>
              </w:rPr>
              <w:t xml:space="preserve">Agglutinative</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5B">
            <w:pPr>
              <w:rPr/>
            </w:pPr>
            <w:r>
              <w:rPr>
                <w:rtl w:val="0"/>
              </w:rPr>
              <w:t xml:space="preserve">Agglutinative</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5C">
            <w:pPr>
              <w:rPr/>
            </w:pPr>
            <w:r>
              <w:rPr>
                <w:rtl w:val="0"/>
              </w:rPr>
              <w:t xml:space="preserve">Agglutinative (inferred)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Pr>
                <w:rtl w:val="0"/>
              </w:rPr>
              <w:t xml:space="preserve">Primary morphological direction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Pr>
                <w:rtl w:val="0"/>
              </w:rPr>
              <w:t xml:space="preserve">Pure suffixing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Pr>
                <w:rtl w:val="0"/>
              </w:rPr>
              <w:t xml:space="preserve">Both (prefix-heavy verbal)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Pr>
                <w:rtl w:val="0"/>
              </w:rPr>
              <w:t xml:space="preserve">Pure suffixing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Pr>
                <w:rtl w:val="0"/>
              </w:rPr>
              <w:t xml:space="preserve">Suffixing (inferred)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62">
            <w:pPr>
              <w:rPr/>
            </w:pPr>
            <w:r>
              <w:rPr>
                <w:rtl w:val="0"/>
              </w:rPr>
              <w:t xml:space="preserve">Alignment</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63">
            <w:pPr>
              <w:rPr/>
            </w:pPr>
            <w:r>
              <w:rPr>
                <w:rtl w:val="0"/>
              </w:rPr>
              <w:t xml:space="preserve">Ergative-absolutive</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64">
            <w:pPr>
              <w:rPr/>
            </w:pPr>
            <w:r>
              <w:rPr>
                <w:rtl w:val="0"/>
              </w:rPr>
              <w:t xml:space="preserve">Ergative (split)</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65">
            <w:pPr>
              <w:rPr/>
            </w:pPr>
            <w:r>
              <w:rPr>
                <w:rtl w:val="0"/>
              </w:rPr>
              <w:t xml:space="preserve">Active-stative/ergative</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66">
            <w:pPr>
              <w:rPr/>
            </w:pPr>
            <w:r>
              <w:rPr>
                <w:rtl w:val="0"/>
              </w:rPr>
              <w:t xml:space="preserve">Unknown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Pr>
                <w:rtl w:val="0"/>
              </w:rPr>
              <w:t xml:space="preserve">Grammatical gender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Pr>
                <w:rtl w:val="0"/>
              </w:rPr>
              <w:t xml:space="preserve">No — animacy distinction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Pr>
                <w:rtl w:val="0"/>
              </w:rPr>
              <w:t xml:space="preserve">No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Pr>
                <w:rtl w:val="0"/>
              </w:rPr>
              <w:t xml:space="preserve">No — animacy distinction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Pr>
                <w:rtl w:val="0"/>
              </w:rPr>
              <w:t xml:space="preserve">Unknown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6C">
            <w:pPr>
              <w:rPr/>
            </w:pPr>
            <w:r>
              <w:rPr>
                <w:rtl w:val="0"/>
              </w:rPr>
              <w:t xml:space="preserve">Animacy-based nominal classes</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6D">
            <w:pPr>
              <w:rPr/>
            </w:pPr>
            <w:r>
              <w:rPr>
                <w:rtl w:val="0"/>
              </w:rPr>
              <w:t xml:space="preserve">Yes (animate/inanimate)</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6E">
            <w:pPr>
              <w:rPr/>
            </w:pPr>
            <w:r>
              <w:rPr>
                <w:rtl w:val="0"/>
              </w:rPr>
              <w:t xml:space="preserve">Partially</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6F">
            <w:pPr>
              <w:rPr/>
            </w:pPr>
            <w:r>
              <w:rPr>
                <w:rtl w:val="0"/>
              </w:rPr>
              <w:t xml:space="preserve">Yes (animate/inanimate)</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70">
            <w:pPr>
              <w:rPr/>
            </w:pPr>
            <w:r>
              <w:rPr>
                <w:rtl w:val="0"/>
              </w:rPr>
              <w:t xml:space="preserve">Probable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Pr>
                <w:rtl w:val="0"/>
              </w:rPr>
              <w:t xml:space="preserve">Suffixaufnahme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Pr>
                <w:rtl w:val="0"/>
              </w:rPr>
              <w:t xml:space="preserve">Yes — hallmark feature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Pr>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Pr>
                <w:rtl w:val="0"/>
              </w:rPr>
              <w:t xml:space="preserve">Partial evidence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Pr>
                <w:rtl w:val="0"/>
              </w:rPr>
              <w:t xml:space="preserve">Unknown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76">
            <w:pPr>
              <w:rPr/>
            </w:pPr>
            <w:r>
              <w:rPr>
                <w:rtl w:val="0"/>
              </w:rPr>
              <w:t xml:space="preserve">Case system richness</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77">
            <w:pPr>
              <w:rPr/>
            </w:pPr>
            <w:r>
              <w:rPr>
                <w:rtl w:val="0"/>
              </w:rPr>
              <w:t xml:space="preserve">8–15 cases</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78">
            <w:pPr>
              <w:rPr/>
            </w:pPr>
            <w:r>
              <w:rPr>
                <w:rtl w:val="0"/>
              </w:rPr>
              <w:t xml:space="preserve">7+ cases</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79">
            <w:pPr>
              <w:rPr/>
            </w:pPr>
            <w:r>
              <w:rPr>
                <w:rtl w:val="0"/>
              </w:rPr>
              <w:t xml:space="preserve">6 cases (Etruscan)</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7A">
            <w:pPr>
              <w:rPr/>
            </w:pPr>
            <w:r>
              <w:rPr>
                <w:rtl w:val="0"/>
              </w:rPr>
              <w:t xml:space="preserve">Unknown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Pr>
                <w:rtl w:val="0"/>
              </w:rPr>
              <w:t xml:space="preserve">SOV word order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Pr>
                <w:rtl w:val="0"/>
              </w:rPr>
              <w:t xml:space="preserve">Strict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Pr>
                <w:rtl w:val="0"/>
              </w:rPr>
              <w:t xml:space="preserve">Strict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Pr>
                <w:rtl w:val="0"/>
              </w:rPr>
              <w:t xml:space="preserve">SOV</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Pr>
                <w:rtl w:val="0"/>
              </w:rPr>
              <w:t xml:space="preserve">Unknown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80">
            <w:pPr>
              <w:rPr/>
            </w:pPr>
            <w:r>
              <w:rPr>
                <w:rtl w:val="0"/>
              </w:rPr>
              <w:t xml:space="preserve">Verb agrees with object</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81">
            <w:pPr>
              <w:rPr/>
            </w:pPr>
            <w:r>
              <w:rPr>
                <w:rtl w:val="0"/>
              </w:rPr>
              <w:t xml:space="preserve">Yes</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82">
            <w:pPr>
              <w:rPr/>
            </w:pPr>
            <w:r>
              <w:rPr>
                <w:rtl w:val="0"/>
              </w:rPr>
              <w:t xml:space="preserve">Yes (polypersonal)</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83">
            <w:pPr>
              <w:rPr/>
            </w:pPr>
            <w:r>
              <w:rPr>
                <w:rtl w:val="0"/>
              </w:rPr>
              <w:t xml:space="preserve">Partially</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84">
            <w:pPr>
              <w:rPr/>
            </w:pPr>
            <w:r>
              <w:rPr>
                <w:rtl w:val="0"/>
              </w:rPr>
              <w:t xml:space="preserve">Probable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Pr>
                <w:rtl w:val="0"/>
              </w:rPr>
              <w:t xml:space="preserve">Postpositions vs prepositions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Pr>
                <w:rtl w:val="0"/>
              </w:rPr>
              <w:t xml:space="preserve">Postpositions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Pr>
                <w:rtl w:val="0"/>
              </w:rPr>
              <w:t xml:space="preserve">Postpositions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Pr>
                <w:rtl w:val="0"/>
              </w:rPr>
              <w:t xml:space="preserve">Postpositions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Pr>
                <w:rtl w:val="0"/>
              </w:rPr>
              <w:t xml:space="preserve">Unknown</w:t>
            </w:r>
          </w:p>
        </w:tc>
      </w:tr>
    </w:tbl>
    <w:p w:rsidR="00000000" w:rsidDel="00000000" w:rsidP="00000000" w:rsidRDefault="00000000" w:rsidRPr="00000000" w14:paraId="0000008A">
      <w:pPr>
        <w:rPr/>
      </w:pPr>
      <w:r>
        <w:rPr>
          <w:rtl w:val="0"/>
        </w:rPr>
      </w:r>
    </w:p>
    <w:p w:rsidR="00000000" w:rsidDel="00000000" w:rsidP="00000000" w:rsidRDefault="00000000" w:rsidRPr="00000000" w14:paraId="0000008B">
      <w:pPr>
        <w:pStyle w:val="Heading2"/>
        <w:rPr/>
      </w:pPr>
      <w:r>
        <w:rPr>
          <w:rtl w:val="0"/>
        </w:rPr>
        <w:t xml:space="preserve">4.2 Suffixaufnahme: The Diagnostic Isogloss</w:t>
      </w:r>
    </w:p>
    <w:p w:rsidR="00000000" w:rsidDel="00000000" w:rsidP="00000000" w:rsidRDefault="00000000" w:rsidRPr="00000000" w14:paraId="0000008C">
      <w:pPr>
        <w:spacing w:after="120" w:before="120" w:line="480" w:lineRule="auto"/>
        <w:rPr/>
      </w:pPr>
      <w:r>
        <w:rPr>
          <w:rtl w:val="0"/>
        </w:rPr>
        <w:t xml:space="preserve">Suffixaufnahme — the phenomenon by which dependent modifiers of a noun copy the noun's own case suffixes — is typologically very rare globally and is among the most powerful genealogical diagnostics available for these language families. Its presence in Hurro-Urartian and Kartvelian is well-documented. Its partial presence in Etruscan has been noted by several scholars. The geographic distribution of Suffixaufnahme — covering precisely the arc of CHG-adjacent populations from the Armenian Highland to the Caucasus to the Aegean — is unlikely to be coincidental and strongly supports a common CHG linguistic origin for all families sharing this feature.</w:t>
      </w:r>
    </w:p>
    <w:p w:rsidR="00000000" w:rsidDel="00000000" w:rsidP="00000000" w:rsidRDefault="00000000" w:rsidRPr="00000000" w14:paraId="0000008D">
      <w:pPr>
        <w:pStyle w:val="Heading2"/>
        <w:rPr/>
      </w:pPr>
      <w:r>
        <w:rPr>
          <w:rtl w:val="0"/>
        </w:rPr>
        <w:t xml:space="preserve">4.3 The Pure-Suffixing Architecture: HU and Tyrsenian vs. Kartvelian</w:t>
      </w:r>
    </w:p>
    <w:p w:rsidR="00000000" w:rsidDel="00000000" w:rsidP="00000000" w:rsidRDefault="00000000" w:rsidRPr="00000000" w14:paraId="0000008E">
      <w:pPr>
        <w:spacing w:after="120" w:before="120" w:line="480" w:lineRule="auto"/>
        <w:rPr/>
      </w:pPr>
      <w:r>
        <w:rPr>
          <w:rtl w:val="0"/>
        </w:rPr>
        <w:t xml:space="preserve">A critical distinction within the CHG cluster separates Kartvelian from both HU and Tyrsenian. Kartvelian develops a massively prefix-heavy verbal morphology — Georgian verb forms can incorporate up to six morpheme slots before the root. HU and Etruscan/Lemnian are by contrast almost purely suffixing, with no significant verbal prefixing. This architectural difference likely reflects a post-split innovation in Kartvelian driven by its specific morphological history in the Caucasus. HU and Tyrsenian, having separated from the CHG ancestor and moved southward and westward respectively, preserved the original suffixing template without developing the prefix-heavy verbal system.</w:t>
      </w:r>
    </w:p>
    <w:p w:rsidR="00000000" w:rsidDel="00000000" w:rsidP="00000000" w:rsidRDefault="00000000" w:rsidRPr="00000000" w14:paraId="0000008F">
      <w:pPr>
        <w:spacing w:after="120" w:before="120" w:line="480" w:lineRule="auto"/>
        <w:rPr/>
      </w:pPr>
      <w:r>
        <w:rPr>
          <w:rtl w:val="0"/>
        </w:rPr>
        <w:t xml:space="preserve">This shared suffixing architecture between HU and Tyrsenian, absent in Kartvelian, constitutes a secondary isogloss linking these two westward-moving branches of the CHG family against the northern Caucasian branch.</w:t>
      </w:r>
    </w:p>
    <w:p w:rsidR="00000000" w:rsidDel="00000000" w:rsidP="00000000" w:rsidRDefault="00000000" w:rsidRPr="00000000" w14:paraId="00000090">
      <w:pPr>
        <w:pStyle w:val="Heading1"/>
        <w:rPr/>
      </w:pPr>
      <w:r>
        <w:rPr>
          <w:rtl w:val="0"/>
        </w:rPr>
        <w:t xml:space="preserve">5. Phonological Comparison</w:t>
      </w:r>
    </w:p>
    <w:p w:rsidR="00000000" w:rsidDel="00000000" w:rsidP="00000000" w:rsidRDefault="00000000" w:rsidRPr="00000000" w14:paraId="00000091">
      <w:pPr>
        <w:pStyle w:val="Heading2"/>
        <w:rPr/>
      </w:pPr>
      <w:r>
        <w:rPr>
          <w:rtl w:val="0"/>
        </w:rPr>
        <w:t xml:space="preserve">5.1 The Proto-CHG Phonological System</w:t>
      </w:r>
    </w:p>
    <w:p w:rsidR="00000000" w:rsidDel="00000000" w:rsidP="00000000" w:rsidRDefault="00000000" w:rsidRPr="00000000" w14:paraId="00000092">
      <w:pPr>
        <w:spacing w:after="120" w:before="120" w:line="480" w:lineRule="auto"/>
        <w:rPr/>
      </w:pPr>
      <w:r>
        <w:rPr>
          <w:rtl w:val="0"/>
        </w:rPr>
        <w:t xml:space="preserve">Reconstructing the proto-CHG phonological system requires comparison across all three daughter families, identifying shared retentions against family-specific innovations. The following features appear in all three families and are proposed as CHG retentions:</w:t>
      </w:r>
    </w:p>
    <w:p w:rsidR="00000000" w:rsidDel="00000000" w:rsidP="00000000" w:rsidRDefault="00000000" w:rsidRPr="00000000" w14:paraId="00000093">
      <w:pPr>
        <w:spacing w:after="120" w:before="120" w:line="480" w:lineRule="auto"/>
        <w:rPr/>
      </w:pPr>
      <w:r>
        <w:rPr>
          <w:rtl w:val="0"/>
        </w:rPr>
        <w:t xml:space="preserve">A five-vowel system /a, e, i, o, u/ at the proto-level — preserved completely in Kartvelian, partially in HU (with dialectal merger of o/u in Hattusha Hurrian), and reduced to four vowels in attested Tyrsenian (Etruscan lost /o/, Lemnian appears to retain /o/ but loses /u/). The east-to-west vowel reduction gradient is consistent with progressive phonological change away from the CHG homeland.</w:t>
      </w:r>
    </w:p>
    <w:p w:rsidR="00000000" w:rsidDel="00000000" w:rsidP="00000000" w:rsidRDefault="00000000" w:rsidRPr="00000000" w14:paraId="00000094">
      <w:pPr>
        <w:spacing w:after="120" w:before="120" w:line="480" w:lineRule="auto"/>
        <w:rPr/>
      </w:pPr>
      <w:r>
        <w:rPr>
          <w:rtl w:val="0"/>
        </w:rPr>
        <w:t xml:space="preserve">SOV-driven phonotactics with constraints on initial consonant complexity — both HU and Tyrsenian restrict initial consonant clusters, while Kartvelian has developed massive initial clusters as a secondary innovation driven by its prefix-heavy verbal morphology.</w:t>
      </w:r>
    </w:p>
    <w:p w:rsidR="00000000" w:rsidDel="00000000" w:rsidP="00000000" w:rsidRDefault="00000000" w:rsidRPr="00000000" w14:paraId="00000095">
      <w:pPr>
        <w:spacing w:after="120" w:before="120" w:line="480" w:lineRule="auto"/>
        <w:rPr/>
      </w:pPr>
      <w:r>
        <w:rPr>
          <w:rtl w:val="0"/>
        </w:rPr>
        <w:t xml:space="preserve">Phonemically distinctive consonant length (geminates) — present in HU and partially in Tyrsenian, absent in Kartvelian, suggesting this feature was present in the CHG ancestor and lost in the northern (Kartvelian) branch.</w:t>
      </w:r>
    </w:p>
    <w:p w:rsidR="00000000" w:rsidDel="00000000" w:rsidP="00000000" w:rsidRDefault="00000000" w:rsidRPr="00000000" w14:paraId="00000096">
      <w:pPr>
        <w:pStyle w:val="Heading2"/>
        <w:rPr/>
      </w:pPr>
      <w:r>
        <w:rPr>
          <w:rtl w:val="0"/>
        </w:rPr>
        <w:t xml:space="preserve">5.2 Phonological Comparison Table</w:t>
      </w:r>
    </w:p>
    <w:p w:rsidR="00000000" w:rsidDel="00000000" w:rsidP="00000000" w:rsidRDefault="00000000" w:rsidRPr="00000000" w14:paraId="00000097">
      <w:pPr>
        <w:rPr/>
      </w:pP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5"/>
        <w:gridCol w:w="2039"/>
        <w:gridCol w:w="2105"/>
        <w:gridCol w:w="2481"/>
        <w:tblGridChange w:id="0">
          <w:tblGrid>
            <w:gridCol w:w="2735"/>
            <w:gridCol w:w="2039"/>
            <w:gridCol w:w="2105"/>
            <w:gridCol w:w="2481"/>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tcPr>
          <w:p w:rsidR="00000000" w:rsidDel="00000000" w:rsidP="00000000" w:rsidRDefault="00000000" w:rsidRPr="00000000" w14:paraId="00000098">
            <w:pPr>
              <w:rPr/>
            </w:pPr>
            <w:r>
              <w:rPr>
                <w:b w:val="1"/>
                <w:bCs w:val="1"/>
                <w:color w:val="ffffff"/>
                <w:rtl w:val="0"/>
              </w:rPr>
              <w:t xml:space="preserve">Feature</w:t>
            </w:r>
            <w:r>
              <w:rPr>
                <w:rtl w:val="0"/>
              </w:rPr>
            </w:r>
          </w:p>
        </w:tc>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tcPr>
          <w:p w:rsidR="00000000" w:rsidDel="00000000" w:rsidP="00000000" w:rsidRDefault="00000000" w:rsidRPr="00000000" w14:paraId="00000099">
            <w:pPr>
              <w:rPr/>
            </w:pPr>
            <w:r>
              <w:rPr>
                <w:b w:val="1"/>
                <w:bCs w:val="1"/>
                <w:color w:val="ffffff"/>
                <w:rtl w:val="0"/>
              </w:rPr>
              <w:t xml:space="preserve">Proto-Kartvelian</w:t>
            </w:r>
            <w:r>
              <w:rPr>
                <w:rtl w:val="0"/>
              </w:rPr>
            </w:r>
          </w:p>
        </w:tc>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tcPr>
          <w:p w:rsidR="00000000" w:rsidDel="00000000" w:rsidP="00000000" w:rsidRDefault="00000000" w:rsidRPr="00000000" w14:paraId="0000009A">
            <w:pPr>
              <w:rPr/>
            </w:pPr>
            <w:r>
              <w:rPr>
                <w:b w:val="1"/>
                <w:bCs w:val="1"/>
                <w:color w:val="ffffff"/>
                <w:rtl w:val="0"/>
              </w:rPr>
              <w:t xml:space="preserve">Hurro-Urartian</w:t>
            </w:r>
            <w:r>
              <w:rPr>
                <w:rtl w:val="0"/>
              </w:rPr>
            </w:r>
          </w:p>
        </w:tc>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tcPr>
          <w:p w:rsidR="00000000" w:rsidDel="00000000" w:rsidP="00000000" w:rsidRDefault="00000000" w:rsidRPr="00000000" w14:paraId="0000009B">
            <w:pPr>
              <w:rPr/>
            </w:pPr>
            <w:r>
              <w:rPr>
                <w:b w:val="1"/>
                <w:bCs w:val="1"/>
                <w:color w:val="ffffff"/>
                <w:rtl w:val="0"/>
              </w:rPr>
              <w:t xml:space="preserve">Tyrsenian (Etruscan/Lemnian)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9C">
            <w:pPr>
              <w:rPr/>
            </w:pPr>
            <w:r>
              <w:rPr>
                <w:rtl w:val="0"/>
              </w:rPr>
              <w:t xml:space="preserve">Vowel inventory</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9D">
            <w:pPr>
              <w:rPr/>
            </w:pPr>
            <w:r>
              <w:rPr>
                <w:rtl w:val="0"/>
              </w:rPr>
              <w:t xml:space="preserve">5: a, e, i, o, u + length</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9E">
            <w:pPr>
              <w:rPr/>
            </w:pPr>
            <w:r>
              <w:rPr>
                <w:rtl w:val="0"/>
              </w:rPr>
              <w:t xml:space="preserve">5: a, e, i, o, u (Mitanni); 3-way merger in Hattusha</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9F">
            <w:pPr>
              <w:rPr/>
            </w:pPr>
            <w:r>
              <w:rPr>
                <w:rtl w:val="0"/>
              </w:rPr>
              <w:t xml:space="preserve">4: Etruscan a/e/i/u; Lemnian a/e/i/o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Pr>
                <w:rtl w:val="0"/>
              </w:rPr>
              <w:t xml:space="preserve">Vowel length phonemic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Pr>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Pr>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Pr>
                <w:rtl w:val="0"/>
              </w:rPr>
              <w:t xml:space="preserve">Not phonemic in Etruscan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A4">
            <w:pPr>
              <w:rPr/>
            </w:pPr>
            <w:r>
              <w:rPr>
                <w:rtl w:val="0"/>
              </w:rPr>
              <w:t xml:space="preserve">Stop series</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A5">
            <w:pPr>
              <w:rPr/>
            </w:pPr>
            <w:r>
              <w:rPr>
                <w:rtl w:val="0"/>
              </w:rPr>
              <w:t xml:space="preserve">Voiced / Voiceless / Ejective</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A6">
            <w:pPr>
              <w:rPr/>
            </w:pPr>
            <w:r>
              <w:rPr>
                <w:rtl w:val="0"/>
              </w:rPr>
              <w:t xml:space="preserve">Allophonic voicing only; emphatics probable ejectives</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A7">
            <w:pPr>
              <w:rPr/>
            </w:pPr>
            <w:r>
              <w:rPr>
                <w:rtl w:val="0"/>
              </w:rPr>
              <w:t xml:space="preserve">Voiceless / Aspirated (no voiced stops)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Pr>
                <w:rtl w:val="0"/>
              </w:rPr>
              <w:t xml:space="preserve">Ejectives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Pr>
                <w:rtl w:val="0"/>
              </w:rPr>
              <w:t xml:space="preserve">Yes — hallmark CHG feature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Pr>
                <w:rtl w:val="0"/>
              </w:rPr>
              <w:t xml:space="preserve">Probably in proto-HU; lost in Hurrian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Pr>
                <w:rtl w:val="0"/>
              </w:rPr>
              <w:t xml:space="preserve">No — replaced by aspiration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AC">
            <w:pPr>
              <w:rPr/>
            </w:pPr>
            <w:r>
              <w:rPr>
                <w:rtl w:val="0"/>
              </w:rPr>
              <w:t xml:space="preserve">Initial consonant clusters</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AD">
            <w:pPr>
              <w:rPr/>
            </w:pPr>
            <w:r>
              <w:rPr>
                <w:rtl w:val="0"/>
              </w:rPr>
              <w:t xml:space="preserve">Yes — massively developed</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AE">
            <w:pPr>
              <w:rPr/>
            </w:pPr>
            <w:r>
              <w:rPr>
                <w:rtl w:val="0"/>
              </w:rPr>
              <w:t xml:space="preserve">No — r/l prohibited initially</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AF">
            <w:pPr>
              <w:rPr/>
            </w:pPr>
            <w:r>
              <w:rPr>
                <w:rtl w:val="0"/>
              </w:rPr>
              <w:t xml:space="preserve">No — few initial clusters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Pr>
                <w:rtl w:val="0"/>
              </w:rPr>
              <w:t xml:space="preserve">Geminate consonants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Pr>
                <w:rtl w:val="0"/>
              </w:rPr>
              <w:t xml:space="preserve">No phonemic geminates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Pr>
                <w:rtl w:val="0"/>
              </w:rPr>
              <w:t xml:space="preserve">Yes — phonemically distinctive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Pr>
                <w:rtl w:val="0"/>
              </w:rPr>
              <w:t xml:space="preserve">Partial — in morphological contexts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B4">
            <w:pPr>
              <w:rPr/>
            </w:pPr>
            <w:r>
              <w:rPr>
                <w:rtl w:val="0"/>
              </w:rPr>
              <w:t xml:space="preserve">Pharyngeals/laryngeals</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B5">
            <w:pPr>
              <w:rPr/>
            </w:pPr>
            <w:r>
              <w:rPr>
                <w:rtl w:val="0"/>
              </w:rPr>
              <w:t xml:space="preserve">Yes in proto-language</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B6">
            <w:pPr>
              <w:rPr/>
            </w:pPr>
            <w:r>
              <w:rPr>
                <w:rtl w:val="0"/>
              </w:rPr>
              <w:t xml:space="preserve">h-sounds attested</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B7">
            <w:pPr>
              <w:rPr/>
            </w:pPr>
            <w:r>
              <w:rPr>
                <w:rtl w:val="0"/>
              </w:rPr>
              <w:t xml:space="preserve">h attested; no pharyngeals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Pr>
                <w:rtl w:val="0"/>
              </w:rPr>
              <w:t xml:space="preserve">Stress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Pr>
                <w:rtl w:val="0"/>
              </w:rPr>
              <w:t xml:space="preserve">Not word-initial dominant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Pr>
                <w:rtl w:val="0"/>
              </w:rPr>
              <w:t xml:space="preserve">Unknown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Pr>
                <w:rtl w:val="0"/>
              </w:rPr>
              <w:t xml:space="preserve">Word-initial dominant (drives syncope)</w:t>
            </w:r>
          </w:p>
        </w:tc>
      </w:tr>
    </w:tbl>
    <w:p w:rsidR="00000000" w:rsidDel="00000000" w:rsidP="00000000" w:rsidRDefault="00000000" w:rsidRPr="00000000" w14:paraId="000000BC">
      <w:pPr>
        <w:rPr/>
      </w:pPr>
      <w:r>
        <w:rPr>
          <w:rtl w:val="0"/>
        </w:rPr>
      </w:r>
    </w:p>
    <w:p w:rsidR="00000000" w:rsidDel="00000000" w:rsidP="00000000" w:rsidRDefault="00000000" w:rsidRPr="00000000" w14:paraId="000000BD">
      <w:pPr>
        <w:pStyle w:val="Heading2"/>
        <w:rPr/>
      </w:pPr>
      <w:r>
        <w:rPr>
          <w:rtl w:val="0"/>
        </w:rPr>
        <w:t xml:space="preserve">5.3 The Vowel Reduction Gradient</w:t>
      </w:r>
    </w:p>
    <w:p w:rsidR="00000000" w:rsidDel="00000000" w:rsidP="00000000" w:rsidRDefault="00000000" w:rsidRPr="00000000" w14:paraId="000000BE">
      <w:pPr>
        <w:spacing w:after="120" w:before="120" w:line="480" w:lineRule="auto"/>
        <w:rPr/>
      </w:pPr>
      <w:r>
        <w:rPr>
          <w:rtl w:val="0"/>
        </w:rPr>
        <w:t xml:space="preserve">The most diagnostically informative phonological comparison concerns the five-vowel proto-system. Kartvelian preserves all five vowels throughout its history, with Svan even adding additional vowels. Hurrian preserves five vowels in the older Mitanni dialect but shows o/u merger in the later Hattusha dialect — an internal dialectal innovation showing exactly the same merger direction that Tyrsenian carries to completion. Etruscan completes the loss of /o/ entirely, retaining only four vowels. Lemnian, more archaic than Etruscan, preserves /o/ but loses /u/ in its attested forms.</w:t>
      </w:r>
    </w:p>
    <w:p w:rsidR="00000000" w:rsidDel="00000000" w:rsidP="00000000" w:rsidRDefault="00000000" w:rsidRPr="00000000" w14:paraId="000000BF">
      <w:pPr>
        <w:spacing w:after="120" w:before="120" w:line="480" w:lineRule="auto"/>
        <w:rPr/>
      </w:pPr>
      <w:r>
        <w:rPr>
          <w:rtl w:val="0"/>
        </w:rPr>
        <w:t xml:space="preserve">This gradient — full five vowels (Kartvelian) &gt; five vowels with incipient dialectal merger (Mitanni Hurrian) &gt; four vowels through o-loss (Etruscan) — runs precisely along the east-to-west geographic axis of the proposed CHG dispersal, from the Caucasian homeland toward the western terminus in Italy. This is not expected under a contact or coincidence model, but is a natural consequence of progressive phonological drift with increasing geographic distance from the origin point.</w:t>
      </w:r>
    </w:p>
    <w:p w:rsidR="00000000" w:rsidDel="00000000" w:rsidP="00000000" w:rsidRDefault="00000000" w:rsidRPr="00000000" w14:paraId="000000C0">
      <w:pPr>
        <w:pStyle w:val="Heading2"/>
        <w:rPr/>
      </w:pPr>
      <w:r>
        <w:rPr>
          <w:rtl w:val="0"/>
        </w:rPr>
        <w:t xml:space="preserve">5.4 The Stop System Divergence</w:t>
      </w:r>
    </w:p>
    <w:p w:rsidR="00000000" w:rsidDel="00000000" w:rsidP="00000000" w:rsidRDefault="00000000" w:rsidRPr="00000000" w14:paraId="000000C1">
      <w:pPr>
        <w:spacing w:after="120" w:before="120" w:line="480" w:lineRule="auto"/>
        <w:rPr/>
      </w:pPr>
      <w:r>
        <w:rPr>
          <w:rtl w:val="0"/>
        </w:rPr>
        <w:t xml:space="preserve">The most dramatic phonological difference between the three families concerns the treatment of the stop system. Proto-Kartvelian preserves the canonical three-way Caucasian contrast: voiced / voiceless / ejective. This is widely recognized as a CHG inheritance, as ejective-heavy phonologies are characteristic of Caucasian languages broadly. Hurrian loses the three-way distinction in its attested form — voicing becomes allophonic, though Urartian preserves what may be ejectives as 'emphatics'. Tyrsenian goes furthest from the CHG norm: voiced stops are absent, ejectives are replaced by an aspirated series (ph, th, kh), producing a system phonologically convergent with Greek through millennia of Aegean contact.</w:t>
      </w:r>
    </w:p>
    <w:p w:rsidR="00000000" w:rsidDel="00000000" w:rsidP="00000000" w:rsidRDefault="00000000" w:rsidRPr="00000000" w14:paraId="000000C2">
      <w:pPr>
        <w:spacing w:after="120" w:before="120" w:line="480" w:lineRule="auto"/>
        <w:rPr/>
      </w:pPr>
      <w:r>
        <w:rPr>
          <w:rtl w:val="0"/>
        </w:rPr>
        <w:t xml:space="preserve">The directionality is again west-of-origin = most innovated. Kartvelian, staying in the Caucasus, preserves the CHG ejective system. HU, moving south, partially retains it. Tyrsenian, moving furthest west, replaces it entirely with aspiration under Aegean contact influence.</w:t>
      </w:r>
    </w:p>
    <w:p w:rsidR="00000000" w:rsidDel="00000000" w:rsidP="00000000" w:rsidRDefault="00000000" w:rsidRPr="00000000" w14:paraId="000000C3">
      <w:pPr>
        <w:pStyle w:val="Heading1"/>
        <w:rPr/>
      </w:pPr>
      <w:r>
        <w:rPr>
          <w:rtl w:val="0"/>
        </w:rPr>
        <w:t xml:space="preserve">6. The CHG Linguistic Arc: Geographic and Temporal Reconstruction</w:t>
      </w:r>
    </w:p>
    <w:p w:rsidR="00000000" w:rsidDel="00000000" w:rsidP="00000000" w:rsidRDefault="00000000" w:rsidRPr="00000000" w14:paraId="000000C4">
      <w:pPr>
        <w:pStyle w:val="Heading2"/>
        <w:rPr/>
      </w:pPr>
      <w:r>
        <w:rPr>
          <w:rtl w:val="0"/>
        </w:rPr>
        <w:t xml:space="preserve">6.1 The Full CHG Language Family</w:t>
      </w:r>
    </w:p>
    <w:p w:rsidR="00000000" w:rsidDel="00000000" w:rsidP="00000000" w:rsidRDefault="00000000" w:rsidRPr="00000000" w14:paraId="000000C5">
      <w:pPr>
        <w:spacing w:after="120" w:before="120" w:line="480" w:lineRule="auto"/>
        <w:rPr/>
      </w:pPr>
      <w:r>
        <w:rPr>
          <w:rtl w:val="0"/>
        </w:rPr>
        <w:t xml:space="preserve">Based on the structural, pronominal, and phonological evidence assembled in this paper, I propose that the following language families constitute branches of the CHG macro-family, arranged geographically from north to south/west:</w:t>
      </w:r>
    </w:p>
    <w:p w:rsidR="00000000" w:rsidDel="00000000" w:rsidP="00000000" w:rsidRDefault="00000000" w:rsidRPr="00000000" w14:paraId="000000C6">
      <w:pPr>
        <w:rPr/>
      </w:pPr>
      <w:r>
        <w:rPr>
          <w:rtl w:val="0"/>
        </w:rPr>
      </w:r>
    </w:p>
    <w:tbl>
      <w:tblPr>
        <w:tblStyle w:val="Table4"/>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0"/>
        <w:gridCol w:w="1786"/>
        <w:gridCol w:w="1288"/>
        <w:gridCol w:w="1228"/>
        <w:gridCol w:w="2668"/>
        <w:tblGridChange w:id="0">
          <w:tblGrid>
            <w:gridCol w:w="1390"/>
            <w:gridCol w:w="1786"/>
            <w:gridCol w:w="1288"/>
            <w:gridCol w:w="1228"/>
            <w:gridCol w:w="2668"/>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tcPr>
          <w:p w:rsidR="00000000" w:rsidDel="00000000" w:rsidP="00000000" w:rsidRDefault="00000000" w:rsidRPr="00000000" w14:paraId="000000C7">
            <w:pPr>
              <w:rPr/>
            </w:pPr>
            <w:r>
              <w:rPr>
                <w:b w:val="1"/>
                <w:bCs w:val="1"/>
                <w:color w:val="ffffff"/>
                <w:rtl w:val="0"/>
              </w:rPr>
              <w:t xml:space="preserve">Branch</w:t>
            </w:r>
            <w:r>
              <w:rPr>
                <w:rtl w:val="0"/>
              </w:rPr>
            </w:r>
          </w:p>
        </w:tc>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tcPr>
          <w:p w:rsidR="00000000" w:rsidDel="00000000" w:rsidP="00000000" w:rsidRDefault="00000000" w:rsidRPr="00000000" w14:paraId="000000C8">
            <w:pPr>
              <w:rPr/>
            </w:pPr>
            <w:r>
              <w:rPr>
                <w:b w:val="1"/>
                <w:bCs w:val="1"/>
                <w:color w:val="ffffff"/>
                <w:rtl w:val="0"/>
              </w:rPr>
              <w:t xml:space="preserve">Geographic Zone</w:t>
            </w:r>
            <w:r>
              <w:rPr>
                <w:rtl w:val="0"/>
              </w:rPr>
            </w:r>
          </w:p>
        </w:tc>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tcPr>
          <w:p w:rsidR="00000000" w:rsidDel="00000000" w:rsidP="00000000" w:rsidRDefault="00000000" w:rsidRPr="00000000" w14:paraId="000000C9">
            <w:pPr>
              <w:rPr/>
            </w:pPr>
            <w:r>
              <w:rPr>
                <w:b w:val="1"/>
                <w:bCs w:val="1"/>
                <w:color w:val="ffffff"/>
                <w:rtl w:val="0"/>
              </w:rPr>
              <w:t xml:space="preserve">Attested Period</w:t>
            </w:r>
            <w:r>
              <w:rPr>
                <w:rtl w:val="0"/>
              </w:rPr>
            </w:r>
          </w:p>
        </w:tc>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tcPr>
          <w:p w:rsidR="00000000" w:rsidDel="00000000" w:rsidP="00000000" w:rsidRDefault="00000000" w:rsidRPr="00000000" w14:paraId="000000CA">
            <w:pPr>
              <w:rPr/>
            </w:pPr>
            <w:r>
              <w:rPr>
                <w:b w:val="1"/>
                <w:bCs w:val="1"/>
                <w:color w:val="ffffff"/>
                <w:rtl w:val="0"/>
              </w:rPr>
              <w:t xml:space="preserve">Status</w:t>
            </w:r>
            <w:r>
              <w:rPr>
                <w:rtl w:val="0"/>
              </w:rPr>
            </w:r>
          </w:p>
        </w:tc>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tcPr>
          <w:p w:rsidR="00000000" w:rsidDel="00000000" w:rsidP="00000000" w:rsidRDefault="00000000" w:rsidRPr="00000000" w14:paraId="000000CB">
            <w:pPr>
              <w:rPr/>
            </w:pPr>
            <w:r>
              <w:rPr>
                <w:b w:val="1"/>
                <w:bCs w:val="1"/>
                <w:color w:val="ffffff"/>
                <w:rtl w:val="0"/>
              </w:rPr>
              <w:t xml:space="preserve">CHG Evidence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CC">
            <w:pPr>
              <w:rPr/>
            </w:pPr>
            <w:r>
              <w:rPr>
                <w:rtl w:val="0"/>
              </w:rPr>
              <w:t xml:space="preserve">Kartvelian</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CD">
            <w:pPr>
              <w:rPr/>
            </w:pPr>
            <w:r>
              <w:rPr>
                <w:rtl w:val="0"/>
              </w:rPr>
              <w:t xml:space="preserve">South Caucasus</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CE">
            <w:pPr>
              <w:rPr/>
            </w:pPr>
            <w:r>
              <w:rPr>
                <w:rtl w:val="0"/>
              </w:rPr>
              <w:t xml:space="preserve">Medieval to present</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CF">
            <w:pPr>
              <w:rPr/>
            </w:pPr>
            <w:r>
              <w:rPr>
                <w:rtl w:val="0"/>
              </w:rPr>
              <w:t xml:space="preserve">Surviving</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D0">
            <w:pPr>
              <w:rPr/>
            </w:pPr>
            <w:r>
              <w:rPr>
                <w:rtl w:val="0"/>
              </w:rPr>
              <w:t xml:space="preserve">Highest CHG ancestry; Urheimat in Colchis glacial refugium confirmed pre-Neolithic (Gavashelishvili et al. 2023); M-T pronouns; ejective phonology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Pr>
                <w:rtl w:val="0"/>
              </w:rPr>
              <w:t xml:space="preserve">Hurro-Urartian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Pr>
                <w:rtl w:val="0"/>
              </w:rPr>
              <w:t xml:space="preserve">Armenian Highland, N. Mesopotamia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Pr>
                <w:rtl w:val="0"/>
              </w:rPr>
              <w:t xml:space="preserve">c. 2300–600 BC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Pr>
                <w:rtl w:val="0"/>
              </w:rPr>
              <w:t xml:space="preserve">Extinct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Pr>
                <w:rtl w:val="0"/>
              </w:rPr>
              <w:t xml:space="preserve">CHG-adjacent homeland; Suffixaufnahme; suffixing morphology; animacy classes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D6">
            <w:pPr>
              <w:rPr/>
            </w:pPr>
            <w:r>
              <w:rPr>
                <w:rtl w:val="0"/>
              </w:rPr>
              <w:t xml:space="preserve">Kassite</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D7">
            <w:pPr>
              <w:rPr/>
            </w:pPr>
            <w:r>
              <w:rPr>
                <w:rtl w:val="0"/>
              </w:rPr>
              <w:t xml:space="preserve">Zagros mountains, Babylonia</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D8">
            <w:pPr>
              <w:rPr/>
            </w:pPr>
            <w:r>
              <w:rPr>
                <w:rtl w:val="0"/>
              </w:rPr>
              <w:t xml:space="preserve">c. 1600–1155 BC</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D9">
            <w:pPr>
              <w:rPr/>
            </w:pPr>
            <w:r>
              <w:rPr>
                <w:rtl w:val="0"/>
              </w:rPr>
              <w:t xml:space="preserve">Extinct (48 words only)</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DA">
            <w:pPr>
              <w:rPr/>
            </w:pPr>
            <w:r>
              <w:rPr>
                <w:rtl w:val="0"/>
              </w:rPr>
              <w:t xml:space="preserve">Geographic position at CHG eastern boundary; divine name parallels with HU; onomastic parallels with Kartvelian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Pr>
                <w:rtl w:val="0"/>
              </w:rPr>
              <w:t xml:space="preserve">Tyrsenian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Pr>
                <w:rtl w:val="0"/>
              </w:rPr>
              <w:t xml:space="preserve">Aegean, Italy, Alps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Pr>
                <w:rtl w:val="0"/>
              </w:rPr>
              <w:t xml:space="preserve">c. 700 BC – 100 AD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Pr>
                <w:rtl w:val="0"/>
              </w:rPr>
              <w:t xml:space="preserve">Extinct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Pr>
                <w:rtl w:val="0"/>
              </w:rPr>
              <w:t xml:space="preserve">Exact M-T pronoun match with Kartvelian; Suffixaufnahme; suffixing morphology; archaism gradient Lemnian &gt; Etruscan toward HU</w:t>
            </w:r>
          </w:p>
        </w:tc>
      </w:tr>
    </w:tbl>
    <w:p w:rsidR="00000000" w:rsidDel="00000000" w:rsidP="00000000" w:rsidRDefault="00000000" w:rsidRPr="00000000" w14:paraId="000000E0">
      <w:pPr>
        <w:rPr/>
      </w:pPr>
      <w:r>
        <w:rPr>
          <w:rtl w:val="0"/>
        </w:rPr>
      </w:r>
    </w:p>
    <w:p w:rsidR="00000000" w:rsidDel="00000000" w:rsidP="00000000" w:rsidRDefault="00000000" w:rsidRPr="00000000" w14:paraId="000000E1">
      <w:pPr>
        <w:pStyle w:val="Heading2"/>
        <w:rPr/>
      </w:pPr>
      <w:r>
        <w:rPr>
          <w:rtl w:val="0"/>
        </w:rPr>
        <w:t xml:space="preserve">6.2 The Split Chronology</w:t>
      </w:r>
    </w:p>
    <w:p w:rsidR="00000000" w:rsidDel="00000000" w:rsidP="00000000" w:rsidRDefault="00000000" w:rsidRPr="00000000" w14:paraId="000000E2">
      <w:pPr>
        <w:spacing w:after="120" w:before="120" w:line="480" w:lineRule="auto"/>
        <w:rPr/>
      </w:pPr>
      <w:r>
        <w:rPr>
          <w:rtl w:val="0"/>
        </w:rPr>
        <w:t xml:space="preserve">The temporal sequence of splits within the CHG macro-family can be estimated by comparing linguistic distance with known migration events and archaeogenetic data:</w:t>
      </w:r>
    </w:p>
    <w:p w:rsidR="00000000" w:rsidDel="00000000" w:rsidP="00000000" w:rsidRDefault="00000000" w:rsidRPr="00000000" w14:paraId="000000E3">
      <w:pPr>
        <w:spacing w:after="120" w:before="120" w:line="480" w:lineRule="auto"/>
        <w:rPr/>
      </w:pPr>
      <w:r>
        <w:rPr>
          <w:rtl w:val="0"/>
        </w:rPr>
        <w:t xml:space="preserve">The Kartvelian-HU split is estimated to have occurred at least as early as approximately 8000 BC. This split was not merely a neutral demographic divergence — it was almost certainly forced and made permanent by the arrival of early Neolithic farmers into the South Caucasus region, most probably speakers of a proto-Northeast Caucasian language tradition expanding from the eastern Anatolian and Zagros Neolithic frontier. This farming expansion, beginning around 8500–8000 BP, penetrated the South Caucasus from the south, introducing agriculture into what had been CHG hunter-gatherer territory and effectively creating a linguistic barrier between two surviving CHG-speaking refugia. The western refugium, sheltered on the southern slopes of the Caucasus mountains and in the densely forested Colchis region around the Rioni and Enguri watersheds, preserved proto-Kartvelian — exactly as confirmed by the Gavashelishvili et al. (2023) study. The eastern and southern refugium, pushed into the highland zone around lakes Van and Urmia in the Armenian Highland, preserved proto-HU-Tyrsenian. The Neolithic farmer expansion did not necessarily replace these populations genetically but severed the geographic continuity between them, preventing further contact and allowing linguistic divergence to consolidate irreversibly. It is possible that the proto-CHG linguistic split had already begun earlier — the two branches may already have been dialects rather than a single language — but the Neolithic farmer barrier definitively ended any possibility of continued contact or convergence between them. The Lake Van and Lake Urmia region subsequently became the heartland from which proto-HU expanded as the Kura-Araxes culture, while proto-Tyrsenian eventually split off and moved westward into the Aegean.</w:t>
      </w:r>
    </w:p>
    <w:p w:rsidR="00000000" w:rsidDel="00000000" w:rsidP="00000000" w:rsidRDefault="00000000" w:rsidRPr="00000000" w14:paraId="000000E4">
      <w:pPr>
        <w:spacing w:after="120" w:before="120" w:line="480" w:lineRule="auto"/>
        <w:rPr/>
      </w:pPr>
      <w:r>
        <w:rPr>
          <w:rtl w:val="0"/>
        </w:rPr>
        <w:t xml:space="preserve">The HU-Tyrsenian split (if from a common intermediate ancestor) or the proto-Tyrsenian departure from the CHG world is estimated at approximately 3500–3000 BC, consistent with the beginning of the Kura-Araxes cultural expansion and the archaeogenetically documented influx of CHG-related ancestry into the Aegean beginning around 3100 BC. The linguistic distance between Hurrian and Etruscan — total pronominal divergence, extensive lexical divergence, but shared structural architecture — is consistent with approximately 4000 years of separation before attestation.</w:t>
      </w:r>
    </w:p>
    <w:p w:rsidR="00000000" w:rsidDel="00000000" w:rsidP="00000000" w:rsidRDefault="00000000" w:rsidRPr="00000000" w14:paraId="000000E5">
      <w:pPr>
        <w:spacing w:after="120" w:before="120" w:line="480" w:lineRule="auto"/>
        <w:rPr/>
      </w:pPr>
      <w:r>
        <w:rPr>
          <w:rtl w:val="0"/>
        </w:rPr>
        <w:t xml:space="preserve">The Etruscan-Lemnian split is difficult to date precisely under the revised model. The near-identical case morphology and shared verbal endings indicate a relatively shallow divergence within the Tyrsenian branch, while the differences — Lemnian preserving archaic *-ai verbal endings and /o/ vowel lost in Etruscan — show the two communities had been separated long enough for independent phonological innovation. The split most plausibly occurred somewhere within the Aegean-Anatolian sphere between the initial Tyrsenian arrival in the Aegean (c. 3000 BC) and the Orientalizing migration to Italy (c. 700 BC): the Lemnian community remained in the northern Aegean while the ancestor of Etruscan persisted in the western Anatolian coastal zone before its eventual westward migration. A more precise date cannot be established from available evidence.</w:t>
      </w:r>
    </w:p>
    <w:p w:rsidR="00000000" w:rsidDel="00000000" w:rsidP="00000000" w:rsidRDefault="00000000" w:rsidRPr="00000000" w14:paraId="000000E6">
      <w:pPr>
        <w:spacing w:after="120" w:before="120" w:line="480" w:lineRule="auto"/>
        <w:rPr/>
      </w:pPr>
      <w:r>
        <w:rPr>
          <w:rtl w:val="0"/>
        </w:rPr>
        <w:t xml:space="preserve">The Raetic branch, attested in the Alps from approximately 500–100 BC, most plausibly diverged from Etruscan after the 700 BC arrival in Italy, as the early Etruscan-speaking community expanded northward. The near-identical case suffixes and shared core vocabulary (*zal ‘two’, *clan ‘son’) support a shallow and relatively recent divergence. Raetic shows considerable influence from the local Alpine substrate languages about which very little is known independently, making internal reconstruction of proto-Raetic unreliable and any firm date for the split speculative.</w:t>
      </w:r>
    </w:p>
    <w:p w:rsidR="00000000" w:rsidDel="00000000" w:rsidP="00000000" w:rsidRDefault="00000000" w:rsidRPr="00000000" w14:paraId="000000E7">
      <w:pPr>
        <w:pStyle w:val="Heading1"/>
        <w:rPr/>
      </w:pPr>
      <w:r>
        <w:rPr>
          <w:rtl w:val="0"/>
        </w:rPr>
        <w:t xml:space="preserve">7. The Tyrsenian Migration: Kura-Araxes to the Aegean and Italy</w:t>
      </w:r>
    </w:p>
    <w:p w:rsidR="00000000" w:rsidDel="00000000" w:rsidP="00000000" w:rsidRDefault="00000000" w:rsidRPr="00000000" w14:paraId="000000E8">
      <w:pPr>
        <w:pStyle w:val="Heading2"/>
        <w:rPr/>
      </w:pPr>
      <w:r>
        <w:rPr>
          <w:rtl w:val="0"/>
        </w:rPr>
        <w:t xml:space="preserve">7.1 The Kura-Araxes Cultural Expansion</w:t>
      </w:r>
    </w:p>
    <w:p w:rsidR="00000000" w:rsidDel="00000000" w:rsidP="00000000" w:rsidRDefault="00000000" w:rsidRPr="00000000" w14:paraId="000000E9">
      <w:pPr>
        <w:spacing w:after="120" w:before="120" w:line="480" w:lineRule="auto"/>
        <w:rPr/>
      </w:pPr>
      <w:r>
        <w:rPr>
          <w:rtl w:val="0"/>
        </w:rPr>
        <w:t xml:space="preserve">The Kura-Araxes (Early Transcaucasian) culture, originating in the South Caucasus and Armenian Highland around 3500–3300 BC, underwent one of the most extensive expansions of the Chalcolithic-Early Bronze Age period, reaching eastern Anatolia, the Levant, the Zagros, and the Aegean. Archaeogenetically, Kura-Araxes populations carry approximately 70% CHG ancestry, making them the primary vector by which CHG genetic material entered the broader Near Eastern and Aegean world during the Early Bronze Age.</w:t>
      </w:r>
    </w:p>
    <w:p w:rsidR="00000000" w:rsidDel="00000000" w:rsidP="00000000" w:rsidRDefault="00000000" w:rsidRPr="00000000" w14:paraId="000000EA">
      <w:pPr>
        <w:spacing w:after="120" w:before="120" w:line="480" w:lineRule="auto"/>
        <w:rPr/>
      </w:pPr>
      <w:r>
        <w:rPr>
          <w:rtl w:val="0"/>
        </w:rPr>
        <w:t xml:space="preserve">Lazaridis et al. (2022) documented a measurable influx of CHG-related ancestry into Aegean populations beginning around 3100–2500 BC — precisely the period of the Kura-Araxes expansion and the emergence of Minoan civilization on Crete (Minoan EBA I beginning c. 3100 BC). I propose that proto-Tyrsenian was the language carried by this CHG-enriched population into the Aegean, and that Minoan civilization represents the Aegean florescence of this proto-Tyrsenian/Pelasgian cultural tradition.</w:t>
      </w:r>
    </w:p>
    <w:p w:rsidR="00000000" w:rsidDel="00000000" w:rsidP="00000000" w:rsidRDefault="00000000" w:rsidRPr="00000000" w14:paraId="000000EB">
      <w:pPr>
        <w:pStyle w:val="Heading2"/>
        <w:rPr/>
      </w:pPr>
      <w:r>
        <w:rPr>
          <w:rtl w:val="0"/>
        </w:rPr>
        <w:t xml:space="preserve">7.2 The Pelasgian Identification</w:t>
      </w:r>
    </w:p>
    <w:p w:rsidR="00000000" w:rsidDel="00000000" w:rsidP="00000000" w:rsidRDefault="00000000" w:rsidRPr="00000000" w14:paraId="000000EC">
      <w:pPr>
        <w:spacing w:after="120" w:before="120" w:line="480" w:lineRule="auto"/>
        <w:rPr/>
      </w:pPr>
      <w:r>
        <w:rPr>
          <w:rtl w:val="0"/>
        </w:rPr>
        <w:t xml:space="preserve">Ancient Greek sources consistently identify the pre-Greek population of the Aegean as 'Pelasgian', with Lemnos, Imbros, and Skyros cited as their last strongholds. Multiple independent ancient sources — Hellanicus of Lesbos, Strabo citing Anticlides, and Euripides — place the Pelasgians as the common ancestor of both the Lemnians and the Etruscans, with the directionality consistently given as Aegean-to-Italy rather than the reverse. While mythological narratives cannot be taken as literal history, their consistent directionality is informative. Linguistically, the directionality is confirmed by the archaism profile: Lemnian is measurably more archaic than Etruscan (preserving the *-ai verbal ending and /o/ vowel lost in Etruscan), consistent with the Aegean branch being the source and Italy being the destination, not the reverse.</w:t>
      </w:r>
    </w:p>
    <w:p w:rsidR="00000000" w:rsidDel="00000000" w:rsidP="00000000" w:rsidRDefault="00000000" w:rsidRPr="00000000" w14:paraId="000000ED">
      <w:pPr>
        <w:pStyle w:val="Heading2"/>
        <w:rPr/>
      </w:pPr>
      <w:r>
        <w:rPr>
          <w:rtl w:val="0"/>
        </w:rPr>
        <w:t xml:space="preserve">7.3 Migration into Tuscany: The Orientalizing Cultural Shift</w:t>
      </w:r>
    </w:p>
    <w:p w:rsidR="00000000" w:rsidDel="00000000" w:rsidP="00000000" w:rsidRDefault="00000000" w:rsidRPr="00000000" w14:paraId="000000EE">
      <w:pPr>
        <w:spacing w:after="120" w:before="120" w:line="480" w:lineRule="auto"/>
        <w:rPr/>
      </w:pPr>
      <w:r>
        <w:rPr>
          <w:rtl w:val="0"/>
        </w:rPr>
        <w:t xml:space="preserve">The most archaeologically compelling evidence for the arrival of a culturally distinct western Anatolian population in central Italy is provided by the so-called Orientalizing period (c. 700–575 BC). At approximately 700 BC, Etruria underwent a profound and rapid cultural transformation whose scale and suddenness are difficult to explain through trade or gradual diffusion alone. The Orientalizing period saw the emergence of the first true Etruscan cities, the introduction of urban planning, and the adoption of a literary culture with the first surviving Etruscan inscriptions. Most diagnostically, the Etruscan elite class abruptly adopted monumental chamber-tomb architecture — constructed from stone slabs, carved from volcanic rock, and covered with large earthen tumuli up to 30–40 metres in diameter — that displays striking and specific parallels with contemporary Phrygian and Lydian tomb architecture in western Anatolia. Etruscan tombs of this period include benches, parapets, and headrests directly comparable to Anatolian examples, and stone basements with circular ring decorations closely paralleling those of Lydian tumulus tombs (Howells 2024). The breadth and suddenness of the transformation — affecting burial customs, monumental architecture, luxury goods, social stratification, and urban organization within a short period — is more consistent with the arrival of a culturally influential western Anatolian elite than with purely indigenous development or trade contact with Greek colonies (Riva 2010; Nowlin 2025).</w:t>
      </w:r>
    </w:p>
    <w:p w:rsidR="00000000" w:rsidDel="00000000" w:rsidP="00000000" w:rsidRDefault="00000000" w:rsidRPr="00000000" w14:paraId="000000EF">
      <w:pPr>
        <w:spacing w:after="120" w:before="120" w:line="480" w:lineRule="auto"/>
        <w:rPr/>
      </w:pPr>
      <w:r>
        <w:rPr>
          <w:rtl w:val="0"/>
        </w:rPr>
        <w:t xml:space="preserve">Crucially, this dramatic cultural shift occurred without a corresponding detectable genetic discontinuity. Studies of ancient Etruscan mtDNA, most systematically by Ghirotto, Tassi, and Barbujani (2013), demonstrate that the genetic links between Tuscany and Anatolia date back at least 5,000 years — to the Neolithic period — and that the Etruscan culture cannot be attributed to an immigration wave from the eastern Mediterranean at the time of the Orientalizing transformation. A 2021 ancient DNA study examining 48 Iron Age individuals from 800 BC onwards found no evidence of a new Anatolian genetic influx coinciding with the cultural shift. The genetic population of Etruria shows substantial continuity from the preceding Iron Age Villanovan culture, with no detectable mass immigration signal in the Iron Age record. This pattern — profound cultural discontinuity without genetic discontinuity — is precisely what is expected if a small but culturally and linguistically dominant elite arrived from western Anatolia, sufficient to reorient burial ideology, urban organization, and language without numerically displacing the existing population. Exactly this mechanism of elite-driven language shift without demographic replacement is well-documented historically in the spread of Latin, Aramaic, and Arabic, all of which linguistically transformed large populations that retained their pre-contact genetic profile.</w:t>
      </w:r>
    </w:p>
    <w:p w:rsidR="00000000" w:rsidDel="00000000" w:rsidP="00000000" w:rsidRDefault="00000000" w:rsidRPr="00000000" w14:paraId="000000F1">
      <w:pPr>
        <w:spacing w:after="120" w:before="120" w:line="480" w:lineRule="auto"/>
        <w:rPr/>
      </w:pPr>
      <w:r>
        <w:rPr>
          <w:rtl w:val="0"/>
        </w:rPr>
        <w:t xml:space="preserve">Within the framework of this paper, the Orientalizing period provides the most plausible moment of Etruscan linguistic arrival in Italy. If the Etruscan language was carried by a western Anatolian elite migrating to Etruria around 700 BC, then its origin should be sought in western Anatolia — specifically Lydia and adjacent coastal regions — during the preceding centuries. This is precisely where the CHG hypothesis predicts Tyrsenian-related populations to have still been present: the descendants of the Kura-Araxes expansion who had settled in the western Anatolian coastal zone and its nearby islands, genetically and linguistically related to the Lemnian-speaking community on Lemnos to the north. The Lemnian connection is here particularly significant: ancient sources explicitly link the pre-Roman inhabitants of Lemnos to the Pelasgians of the Aegean coast, the same population that Herodotus, Hellanicus, and Anticlides identify as ancestors of the Etruscans. The linguistic archaism of Lemnian relative to Etruscan — documented in sections 10.1–10.2 of this paper — is consistent with a split in which the Lemnian community remained in the Aegean while a related western Anatolian group migrated westward to Italy around 700 BC, carrying a slightly more innovated dialect that became classical Etruscan. The Orientalizing cultural transformation thus serves as the historical anchor for the CHG linguistic hypothesis: it provides the specific moment, mechanism, and origin region that explain how a Tyrsenian-family language arrived in central Italy without Bronze Age genetic evidence, while leaving the pattern of cultural discontinuity and genetic continuity that the archaeogenetic record documents.</w:t>
      </w:r>
    </w:p>
    <w:p w:rsidR="00000000" w:rsidDel="00000000" w:rsidP="00000000" w:rsidRDefault="00000000" w:rsidRPr="00000000" w14:paraId="000000F2">
      <w:pPr>
        <w:pStyle w:val="Heading1"/>
        <w:rPr/>
      </w:pPr>
      <w:r>
        <w:rPr>
          <w:rtl w:val="0"/>
        </w:rPr>
        <w:t xml:space="preserve">8. The Two-Layer Pre-IE European Substratum</w:t>
      </w:r>
    </w:p>
    <w:p w:rsidR="00000000" w:rsidDel="00000000" w:rsidP="00000000" w:rsidRDefault="00000000" w:rsidRPr="00000000" w14:paraId="000000F3">
      <w:pPr>
        <w:pStyle w:val="Heading2"/>
        <w:rPr/>
      </w:pPr>
      <w:r>
        <w:rPr>
          <w:rtl w:val="0"/>
        </w:rPr>
        <w:t xml:space="preserve">8.1 Cardial Ware as an NE Caucasian-Adjacent Tradition</w:t>
      </w:r>
    </w:p>
    <w:p w:rsidR="00000000" w:rsidDel="00000000" w:rsidP="00000000" w:rsidRDefault="00000000" w:rsidRPr="00000000" w14:paraId="000000F4">
      <w:pPr>
        <w:spacing w:after="120" w:before="120" w:line="480" w:lineRule="auto"/>
        <w:rPr/>
      </w:pPr>
      <w:r>
        <w:rPr>
          <w:rtl w:val="0"/>
        </w:rPr>
        <w:t xml:space="preserve">A critical clarification emerges from the revised chronology of European Neolithic expansion. The Cardial Ware / Impressed Ware culture, which brought agriculture to the western Mediterranean beginning around 6400 BC (earliest sites in Epirus and Corfu), is genetically dominated by Early European Farmer (EEF) ancestry with only trace CHG. This population derives primarily from Anatolian Hunter-Gatherer (AHG) ancestry through the western Anatolian Neolithic transition. It is therefore linguistically distinct from the CHG-adjacent populations that produced Hurro-Urartian, Kartvelian, and Tyrsenian.</w:t>
      </w:r>
    </w:p>
    <w:p w:rsidR="00000000" w:rsidDel="00000000" w:rsidP="00000000" w:rsidRDefault="00000000" w:rsidRPr="00000000" w14:paraId="000000F5">
      <w:pPr>
        <w:spacing w:after="120" w:before="120" w:line="480" w:lineRule="auto"/>
        <w:rPr/>
      </w:pPr>
      <w:r>
        <w:rPr>
          <w:rtl w:val="0"/>
        </w:rPr>
        <w:t xml:space="preserve">The language of the Cardial Ware farmers is proposed here to have been ancestral to Basque — the sole surviving language of this Neolithic agricultural stratum in western Europe. This assignment is supported by the well-documented structural and lexical connections between Basque and Northeast Caucasian (NE Caucasian / Nakh-Dagestanian), which are most naturally explained as a common ancestor shared between the Cardial farming tradition and the NE Caucasian-adjacent populations of the eastern Anatolian/Zagros Neolithic frontier from which the Cardial farmers ultimately derived their agricultural package.</w:t>
      </w:r>
    </w:p>
    <w:p w:rsidR="00000000" w:rsidDel="00000000" w:rsidP="00000000" w:rsidRDefault="00000000" w:rsidRPr="00000000" w14:paraId="000000F6">
      <w:pPr>
        <w:pStyle w:val="Heading2"/>
        <w:rPr/>
      </w:pPr>
      <w:r>
        <w:rPr>
          <w:rtl w:val="0"/>
        </w:rPr>
        <w:t xml:space="preserve">8.2 The Two-Layer Model</w:t>
      </w:r>
    </w:p>
    <w:p w:rsidR="00000000" w:rsidDel="00000000" w:rsidP="00000000" w:rsidRDefault="00000000" w:rsidRPr="00000000" w14:paraId="000000F7">
      <w:pPr>
        <w:rPr/>
      </w:pPr>
      <w:r>
        <w:rPr>
          <w:rtl w:val="0"/>
        </w:rPr>
      </w:r>
    </w:p>
    <w:tbl>
      <w:tblPr>
        <w:tblStyle w:val="Table5"/>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6"/>
        <w:gridCol w:w="1624"/>
        <w:gridCol w:w="1135"/>
        <w:gridCol w:w="1594"/>
        <w:gridCol w:w="1956"/>
        <w:gridCol w:w="2255"/>
        <w:tblGridChange w:id="0">
          <w:tblGrid>
            <w:gridCol w:w="896"/>
            <w:gridCol w:w="1624"/>
            <w:gridCol w:w="1135"/>
            <w:gridCol w:w="1594"/>
            <w:gridCol w:w="1956"/>
            <w:gridCol w:w="2255"/>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tcPr>
          <w:p w:rsidR="00000000" w:rsidDel="00000000" w:rsidP="00000000" w:rsidRDefault="00000000" w:rsidRPr="00000000" w14:paraId="000000F8">
            <w:pPr>
              <w:rPr/>
            </w:pPr>
            <w:r>
              <w:rPr>
                <w:b w:val="1"/>
                <w:bCs w:val="1"/>
                <w:color w:val="ffffff"/>
                <w:rtl w:val="0"/>
              </w:rPr>
              <w:t xml:space="preserve">Layer</w:t>
            </w:r>
            <w:r>
              <w:rPr>
                <w:rtl w:val="0"/>
              </w:rPr>
            </w:r>
          </w:p>
        </w:tc>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tcPr>
          <w:p w:rsidR="00000000" w:rsidDel="00000000" w:rsidP="00000000" w:rsidRDefault="00000000" w:rsidRPr="00000000" w14:paraId="000000F9">
            <w:pPr>
              <w:rPr/>
            </w:pPr>
            <w:r>
              <w:rPr>
                <w:b w:val="1"/>
                <w:bCs w:val="1"/>
                <w:color w:val="ffffff"/>
                <w:rtl w:val="0"/>
              </w:rPr>
              <w:t xml:space="preserve">Culture</w:t>
            </w:r>
            <w:r>
              <w:rPr>
                <w:rtl w:val="0"/>
              </w:rPr>
            </w:r>
          </w:p>
        </w:tc>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tcPr>
          <w:p w:rsidR="00000000" w:rsidDel="00000000" w:rsidP="00000000" w:rsidRDefault="00000000" w:rsidRPr="00000000" w14:paraId="000000FA">
            <w:pPr>
              <w:rPr/>
            </w:pPr>
            <w:r>
              <w:rPr>
                <w:b w:val="1"/>
                <w:bCs w:val="1"/>
                <w:color w:val="ffffff"/>
                <w:rtl w:val="0"/>
              </w:rPr>
              <w:t xml:space="preserve">Date</w:t>
            </w:r>
            <w:r>
              <w:rPr>
                <w:rtl w:val="0"/>
              </w:rPr>
            </w:r>
          </w:p>
        </w:tc>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tcPr>
          <w:p w:rsidR="00000000" w:rsidDel="00000000" w:rsidP="00000000" w:rsidRDefault="00000000" w:rsidRPr="00000000" w14:paraId="000000FB">
            <w:pPr>
              <w:rPr/>
            </w:pPr>
            <w:r>
              <w:rPr>
                <w:b w:val="1"/>
                <w:bCs w:val="1"/>
                <w:color w:val="ffffff"/>
                <w:rtl w:val="0"/>
              </w:rPr>
              <w:t xml:space="preserve">Genetic Signature</w:t>
            </w:r>
            <w:r>
              <w:rPr>
                <w:rtl w:val="0"/>
              </w:rPr>
            </w:r>
          </w:p>
        </w:tc>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tcPr>
          <w:p w:rsidR="00000000" w:rsidDel="00000000" w:rsidP="00000000" w:rsidRDefault="00000000" w:rsidRPr="00000000" w14:paraId="000000FC">
            <w:pPr>
              <w:rPr/>
            </w:pPr>
            <w:r>
              <w:rPr>
                <w:b w:val="1"/>
                <w:bCs w:val="1"/>
                <w:color w:val="ffffff"/>
                <w:rtl w:val="0"/>
              </w:rPr>
              <w:t xml:space="preserve">Proposed Language Family</w:t>
            </w:r>
            <w:r>
              <w:rPr>
                <w:rtl w:val="0"/>
              </w:rPr>
            </w:r>
          </w:p>
        </w:tc>
        <w:tc>
          <w:tcPr>
            <w:tcBorders>
              <w:top w:color="4472c4" w:space="0" w:sz="4" w:val="single"/>
              <w:left w:color="4472c4" w:space="0" w:sz="4" w:val="single"/>
              <w:bottom w:color="4472c4" w:space="0" w:sz="4" w:val="single"/>
              <w:right w:color="4472c4" w:space="0" w:sz="4" w:val="single"/>
            </w:tcBorders>
            <w:shd w:fill="4472c4" w:val="clear"/>
            <w:tcMar>
              <w:top w:w="80.0" w:type="dxa"/>
              <w:left w:w="120.0" w:type="dxa"/>
              <w:bottom w:w="80.0" w:type="dxa"/>
              <w:right w:w="120.0" w:type="dxa"/>
            </w:tcMar>
          </w:tcPr>
          <w:p w:rsidR="00000000" w:rsidDel="00000000" w:rsidP="00000000" w:rsidRDefault="00000000" w:rsidRPr="00000000" w14:paraId="000000FD">
            <w:pPr>
              <w:rPr/>
            </w:pPr>
            <w:r>
              <w:rPr>
                <w:b w:val="1"/>
                <w:bCs w:val="1"/>
                <w:color w:val="ffffff"/>
                <w:rtl w:val="0"/>
              </w:rPr>
              <w:t xml:space="preserve">Survivors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FE">
            <w:pPr>
              <w:rPr/>
            </w:pPr>
            <w:r>
              <w:rPr>
                <w:rtl w:val="0"/>
              </w:rPr>
              <w:t xml:space="preserve">Layer 1</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FF">
            <w:pPr>
              <w:rPr/>
            </w:pPr>
            <w:r>
              <w:rPr>
                <w:rtl w:val="0"/>
              </w:rPr>
              <w:t xml:space="preserve">Cardial / Impressed Ware Neolithic</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00">
            <w:pPr>
              <w:rPr/>
            </w:pPr>
            <w:r>
              <w:rPr>
                <w:rtl w:val="0"/>
              </w:rPr>
              <w:t xml:space="preserve">c. 6400–4000 BC</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01">
            <w:pPr>
              <w:rPr/>
            </w:pPr>
            <w:r>
              <w:rPr>
                <w:rtl w:val="0"/>
              </w:rPr>
              <w:t xml:space="preserve">EEF dominant (AHG-derived)</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02">
            <w:pPr>
              <w:rPr/>
            </w:pPr>
            <w:r>
              <w:rPr>
                <w:rtl w:val="0"/>
              </w:rPr>
              <w:t xml:space="preserve">NE Caucasian-adjacent (proto-Basque)</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03">
            <w:pPr>
              <w:rPr/>
            </w:pPr>
            <w:r>
              <w:rPr>
                <w:rtl w:val="0"/>
              </w:rPr>
              <w:t xml:space="preserve">Basque (sole European survivor)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Pr>
                <w:rtl w:val="0"/>
              </w:rPr>
              <w:t xml:space="preserve">Layer 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Pr>
                <w:rtl w:val="0"/>
              </w:rPr>
              <w:t xml:space="preserve">Kura-Araxes / Pelasgian EBA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Pr>
                <w:rtl w:val="0"/>
              </w:rPr>
              <w:t xml:space="preserve">c. 3100–2500 BC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Pr>
                <w:rtl w:val="0"/>
              </w:rPr>
              <w:t xml:space="preserve">CHG-enriched (70% CHG)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Pr>
                <w:rtl w:val="0"/>
              </w:rPr>
              <w:t xml:space="preserve">Proto-Tyrsenian / Pelasgian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Pr>
                <w:rtl w:val="0"/>
              </w:rPr>
              <w:t xml:space="preserve">Lemnian (northern Aegean), proto-Etruscan (western Anatolia → Italy c. 700 BC), Minoan/Eteocretan (Crete)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0A">
            <w:pPr>
              <w:rPr/>
            </w:pPr>
            <w:r>
              <w:rPr>
                <w:rtl w:val="0"/>
              </w:rPr>
              <w:t xml:space="preserve">Layer 3</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0B">
            <w:pPr>
              <w:rPr/>
            </w:pPr>
            <w:r>
              <w:rPr>
                <w:rtl w:val="0"/>
              </w:rPr>
              <w:t xml:space="preserve">Bell Beaker / Yamnaya</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0C">
            <w:pPr>
              <w:rPr/>
            </w:pPr>
            <w:r>
              <w:rPr>
                <w:rtl w:val="0"/>
              </w:rPr>
              <w:t xml:space="preserve">c. 2500–1800 BC</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0D">
            <w:pPr>
              <w:rPr/>
            </w:pPr>
            <w:r>
              <w:rPr>
                <w:rtl w:val="0"/>
              </w:rPr>
              <w:t xml:space="preserve">Steppe-dominant (EHG+CHG)</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0E">
            <w:pPr>
              <w:rPr/>
            </w:pPr>
            <w:r>
              <w:rPr>
                <w:rtl w:val="0"/>
              </w:rPr>
              <w:t xml:space="preserve">Proto-Indo-European branches</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0F">
            <w:pPr>
              <w:rPr/>
            </w:pPr>
            <w:r>
              <w:rPr>
                <w:rtl w:val="0"/>
              </w:rPr>
              <w:t xml:space="preserve">All modern IE languages of Europe</w:t>
            </w:r>
          </w:p>
        </w:tc>
      </w:tr>
    </w:tbl>
    <w:p w:rsidR="00000000" w:rsidDel="00000000" w:rsidP="00000000" w:rsidRDefault="00000000" w:rsidRPr="00000000" w14:paraId="00000110">
      <w:pPr>
        <w:rPr/>
      </w:pPr>
      <w:r>
        <w:rPr>
          <w:rtl w:val="0"/>
        </w:rPr>
      </w:r>
    </w:p>
    <w:p w:rsidR="00000000" w:rsidDel="00000000" w:rsidP="00000000" w:rsidRDefault="00000000" w:rsidRPr="00000000" w14:paraId="00000111">
      <w:pPr>
        <w:spacing w:after="120" w:before="120" w:line="480" w:lineRule="auto"/>
        <w:rPr/>
      </w:pPr>
      <w:r>
        <w:rPr>
          <w:rtl w:val="0"/>
        </w:rPr>
        <w:t xml:space="preserve">This two-layer model for the pre-IE European linguistic substrate is more parsimonious than existing models that either treat all pre-IE languages as a single family or treat each as an independent isolate. It distributes the substrate languages into two geographically and chronologically distinct migration events, each with a clear genetic correlate, and makes the survival of Basque and Etruscan as the two pre-IE isolates of historical Europe readily explicable: Basque survived through geographic isolation in the Pyrenean refuge from the initial pre-IE period, while Etruscan arrived in the Tyrrhenian zone only around 700 BC — well into the Iron Age, after the main wave of Indo-Europeanization in Italy had already occurred — and established itself as the prestige language of a culturally dominant urban civilization before Latin expansion rendered it extinct. Neither survival is an improbable coincidence; each reflects a distinct but coherent historical pathway.</w:t>
      </w:r>
    </w:p>
    <w:p w:rsidR="00000000" w:rsidDel="00000000" w:rsidP="00000000" w:rsidRDefault="00000000" w:rsidRPr="00000000" w14:paraId="00000112">
      <w:pPr>
        <w:pStyle w:val="Heading1"/>
        <w:rPr/>
      </w:pPr>
      <w:r>
        <w:rPr>
          <w:rtl w:val="0"/>
        </w:rPr>
        <w:t xml:space="preserve">9. Kassite: The Eastern Extension of the CHG Arc</w:t>
      </w:r>
    </w:p>
    <w:p w:rsidR="00000000" w:rsidDel="00000000" w:rsidP="00000000" w:rsidRDefault="00000000" w:rsidRPr="00000000" w14:paraId="00000113">
      <w:pPr>
        <w:pStyle w:val="Heading2"/>
        <w:rPr/>
      </w:pPr>
      <w:r>
        <w:rPr>
          <w:rtl w:val="0"/>
        </w:rPr>
        <w:t xml:space="preserve">9.1 Kassite as an Eastern Branch</w:t>
      </w:r>
    </w:p>
    <w:p w:rsidR="00000000" w:rsidDel="00000000" w:rsidP="00000000" w:rsidRDefault="00000000" w:rsidRPr="00000000" w14:paraId="00000114">
      <w:pPr>
        <w:spacing w:after="120" w:before="120" w:line="480" w:lineRule="auto"/>
        <w:rPr/>
      </w:pPr>
      <w:r>
        <w:rPr>
          <w:rtl w:val="0"/>
        </w:rPr>
        <w:t xml:space="preserve">Kassite, the language of the Kassite dynasty that ruled Babylonia from approximately 1600 to 1155 BC, is attested in only 48 glosses in a bilingual Kassite-Babylonian vocabulary plus royal names. Despite this minimal corpus, Fournet (2011) identified structural and lexical parallels with HU that are difficult to dismiss as coincidental: the storm god name (Kassite *Tispak ~ Hurrian *Tessub ~ Urartian *Teissaba); core vocabulary (*yas 'land' ~ Hurrian *ese 'earth'); and shared personal name formation patterns (Verb + divine Name). The geographic origin of the Kassites in the Zagros mountains places them at the eastern boundary of CHG population territory. I propose Kassite as the eastern branch of the CHG macro-family, extending the CHG linguistic arc from the Zagros to the Italian peninsula.</w:t>
      </w:r>
    </w:p>
    <w:p w:rsidR="00000000" w:rsidDel="00000000" w:rsidP="00000000" w:rsidRDefault="00000000" w:rsidRPr="00000000" w14:paraId="00000115">
      <w:pPr>
        <w:pStyle w:val="Heading1"/>
        <w:rPr/>
      </w:pPr>
      <w:r>
        <w:rPr>
          <w:rtl w:val="0"/>
        </w:rPr>
        <w:t xml:space="preserve">10. The Lemnian Archaism Test: Directionality of Tyrsenian Dispersal</w:t>
      </w:r>
    </w:p>
    <w:p w:rsidR="00000000" w:rsidDel="00000000" w:rsidP="00000000" w:rsidRDefault="00000000" w:rsidRPr="00000000" w14:paraId="00000116">
      <w:pPr>
        <w:pStyle w:val="Heading2"/>
        <w:rPr/>
      </w:pPr>
      <w:r>
        <w:rPr>
          <w:rtl w:val="0"/>
        </w:rPr>
        <w:t xml:space="preserve">10.1 Lemnian as More Archaic Than Etruscan</w:t>
      </w:r>
    </w:p>
    <w:p w:rsidR="00000000" w:rsidDel="00000000" w:rsidP="00000000" w:rsidRDefault="00000000" w:rsidRPr="00000000" w14:paraId="00000117">
      <w:pPr>
        <w:spacing w:after="120" w:before="120" w:line="480" w:lineRule="auto"/>
        <w:rPr/>
      </w:pPr>
      <w:r>
        <w:rPr>
          <w:rtl w:val="0"/>
        </w:rPr>
        <w:t xml:space="preserve">A key prediction of the east-to-west dispersal model is that the Lemnian branch (closer to the Aegean source area) should preserve more archaic features than the Italian Etruscan branch (the western terminus of the dispersal). This prediction is confirmed by the available evidence on multiple independent features:</w:t>
      </w:r>
    </w:p>
    <w:p w:rsidR="00000000" w:rsidDel="00000000" w:rsidP="00000000" w:rsidRDefault="00000000" w:rsidRPr="00000000" w14:paraId="00000118">
      <w:pPr>
        <w:spacing w:after="120" w:before="120" w:line="480" w:lineRule="auto"/>
        <w:rPr/>
      </w:pPr>
      <w:r>
        <w:rPr>
          <w:rtl w:val="0"/>
        </w:rPr>
        <w:t xml:space="preserve">First, the verbal perfect ending: Lemnian preserves *-ai as a productive verbal perfect/preterite ending (e.g. *aomai 'I am'), while Etruscan has replaced this with *-ce/-ke. The *-ai ending is independently attested in Hurrian as a modal/jussive morpheme, suggesting it is the older form. Etruscan's *-ce is the innovation. Crucially, Lemnian attests both *-ai and *-ke simultaneously, caught at an intermediate stage of the *-ai &gt; *-ce transition that Etruscan has completed. This archaism profile is consistent with a split that occurred somewhere in the Aegean-Anatolian sphere before the Etruscan migration to Italy around 700 BC; it is not possible to pinpoint the split more precisely from available evidence, but the arc of Lemnian innovation relative to Etruscan is compatible with any divergence date between the initial Tyrsenian spread into the Aegean (c. 3000 BC) and the Orientalizing migration itself.</w:t>
      </w:r>
    </w:p>
    <w:p w:rsidR="00000000" w:rsidDel="00000000" w:rsidP="00000000" w:rsidRDefault="00000000" w:rsidRPr="00000000" w14:paraId="00000119">
      <w:pPr>
        <w:spacing w:after="120" w:before="120" w:line="480" w:lineRule="auto"/>
        <w:rPr/>
      </w:pPr>
      <w:r>
        <w:rPr>
          <w:rtl w:val="0"/>
        </w:rPr>
        <w:t xml:space="preserve">Second, the vowel system: Lemnian preserves the vowel /o/ that Etruscan has completely lost. Since Hurrian (Mitanni dialect) also retains /o/, the Lemnian /o/ is the archaic form and Etruscan /u/ (replacing /o/) is the innovation.</w:t>
      </w:r>
    </w:p>
    <w:p w:rsidR="00000000" w:rsidDel="00000000" w:rsidP="00000000" w:rsidRDefault="00000000" w:rsidRPr="00000000" w14:paraId="0000011A">
      <w:pPr>
        <w:spacing w:after="120" w:before="120" w:line="480" w:lineRule="auto"/>
        <w:rPr/>
      </w:pPr>
      <w:r>
        <w:rPr>
          <w:rtl w:val="0"/>
        </w:rPr>
        <w:t xml:space="preserve">Third, the genitive morpheme: Lemnian shows more consistent use of the genitive *-s, while Etruscan has developed allomorphic variation (*-s/-as/-es/-is/-us/-ls), suggesting greater phonological erosion in the western Italian branch.</w:t>
      </w:r>
    </w:p>
    <w:p w:rsidR="00000000" w:rsidDel="00000000" w:rsidP="00000000" w:rsidRDefault="00000000" w:rsidRPr="00000000" w14:paraId="0000011B">
      <w:pPr>
        <w:spacing w:after="120" w:before="120" w:line="480" w:lineRule="auto"/>
        <w:rPr/>
      </w:pPr>
      <w:r>
        <w:rPr>
          <w:rtl w:val="0"/>
        </w:rPr>
        <w:t xml:space="preserve">The combination of multiple independent archaisms in Lemnian pointing toward HU — the proposed eastern source — and multiple independent innovations in Etruscan pointing away from HU — the proposed western terminus — constitutes strong evidence for the east-to-west dispersal model and effectively rules out the mainstream alternative of a westward Etruscan colonial foundation of Lemnian.</w:t>
      </w:r>
    </w:p>
    <w:p w:rsidR="00000000" w:rsidDel="00000000" w:rsidP="00000000" w:rsidRDefault="00000000" w:rsidRPr="00000000" w14:paraId="0000011C">
      <w:pPr>
        <w:pStyle w:val="Heading2"/>
        <w:rPr/>
      </w:pPr>
      <w:r>
        <w:rPr>
          <w:rtl w:val="0"/>
        </w:rPr>
        <w:t xml:space="preserve">10.2 Refuting the Colonial Model</w:t>
      </w:r>
    </w:p>
    <w:p w:rsidR="00000000" w:rsidDel="00000000" w:rsidP="00000000" w:rsidRDefault="00000000" w:rsidRPr="00000000" w14:paraId="0000011D">
      <w:pPr>
        <w:spacing w:after="120" w:before="120" w:line="480" w:lineRule="auto"/>
        <w:rPr/>
      </w:pPr>
      <w:r>
        <w:rPr>
          <w:rtl w:val="0"/>
        </w:rPr>
        <w:t xml:space="preserve">The mainstream position — that Etruscan traders or pirates established a language colony on Lemnos in the 7th–8th century BC, transmitting their language to the island — is refuted by the archaism profile. A colony established in the 8th century BC would speak contemporary Etruscan, not an older form of it. The fact that Lemnian features consistently correspond to the earliest attested phases of Etruscan — noted by specialists themselves — demands a split predating classical Etruscan, which itself predates the proposed colonial foundation date.</w:t>
      </w:r>
    </w:p>
    <w:p w:rsidR="00000000" w:rsidDel="00000000" w:rsidP="00000000" w:rsidRDefault="00000000" w:rsidRPr="00000000" w14:paraId="0000011E">
      <w:pPr>
        <w:spacing w:after="120" w:before="120" w:line="480" w:lineRule="auto"/>
        <w:rPr/>
      </w:pPr>
      <w:r>
        <w:rPr>
          <w:rtl w:val="0"/>
        </w:rPr>
        <w:t xml:space="preserve">The adoption of a southern Etrurian variant of the Etruscan alphabet for writing Lemnian is best explained not as evidence of colonial foundation but as an Iron Age script-contact event between long-separated linguistic relatives: Etruscan maritime activity in the Aegean brought the Etruscan script into contact with a population whose linguistic kinship with Etruscans was recognized, prompting adoption of the Etruscan-variant alphabet in preference to the surrounding Greek scripts.</w:t>
      </w:r>
    </w:p>
    <w:p w:rsidR="00000000" w:rsidDel="00000000" w:rsidP="00000000" w:rsidRDefault="00000000" w:rsidRPr="00000000" w14:paraId="0000011F">
      <w:pPr>
        <w:pStyle w:val="Heading1"/>
        <w:rPr/>
      </w:pPr>
      <w:r>
        <w:rPr>
          <w:rtl w:val="0"/>
        </w:rPr>
        <w:t xml:space="preserve">11. Discussion: Implications and Open Questions</w:t>
      </w:r>
    </w:p>
    <w:p w:rsidR="00000000" w:rsidDel="00000000" w:rsidP="00000000" w:rsidRDefault="00000000" w:rsidRPr="00000000" w14:paraId="00000120">
      <w:pPr>
        <w:pStyle w:val="Heading2"/>
        <w:rPr/>
      </w:pPr>
      <w:r>
        <w:rPr>
          <w:rtl w:val="0"/>
        </w:rPr>
        <w:t xml:space="preserve">11.1 The M-T Pronoun as a CHG-EHG Contact Feature</w:t>
      </w:r>
    </w:p>
    <w:p w:rsidR="00000000" w:rsidDel="00000000" w:rsidP="00000000" w:rsidRDefault="00000000" w:rsidRPr="00000000" w14:paraId="00000121">
      <w:pPr>
        <w:spacing w:after="120" w:before="120" w:line="480" w:lineRule="auto"/>
        <w:rPr/>
      </w:pPr>
      <w:r>
        <w:rPr>
          <w:rtl w:val="0"/>
        </w:rPr>
        <w:t xml:space="preserve">The M-T pronoun pattern shared by Kartvelian, Etruscan, PIE, and Uralic raises a question about its ultimate origin. If it is a CHG inheritance, why do PIE and Uralic — families with minimal or no CHG genetic ancestry in their core — also share it? I propose that the M-T pattern is not specifically CHG but rather a feature of the CHG-EHG contact zone north of the Caucasus during the Mesolithic, where proto-Uralic/Eurasiatic speakers interacted with CHG populations. The M-T pronoun was shared across this contact frontier, which is why it appears in both CHG descendants (Kartvelian, Etruscan) and EHG descendants (Uralic, PIE). Hurrian's departure from M-T represents a specific contact event replacing the inherited pronouns — an event without parallel in the other CHG branches.</w:t>
      </w:r>
    </w:p>
    <w:p w:rsidR="00000000" w:rsidDel="00000000" w:rsidP="00000000" w:rsidRDefault="00000000" w:rsidRPr="00000000" w14:paraId="00000122">
      <w:pPr>
        <w:pStyle w:val="Heading2"/>
        <w:rPr/>
      </w:pPr>
      <w:r>
        <w:rPr>
          <w:rtl w:val="0"/>
        </w:rPr>
        <w:t xml:space="preserve">11.2 The Role of Minoan</w:t>
      </w:r>
    </w:p>
    <w:p w:rsidR="00000000" w:rsidDel="00000000" w:rsidP="00000000" w:rsidRDefault="00000000" w:rsidRPr="00000000" w14:paraId="00000123">
      <w:pPr>
        <w:spacing w:after="120" w:before="120" w:line="480" w:lineRule="auto"/>
        <w:rPr/>
      </w:pPr>
      <w:r>
        <w:rPr>
          <w:rtl w:val="0"/>
        </w:rPr>
        <w:t xml:space="preserve">Minoan, the undeciphered language of Bronze Age Crete, is predicted by this framework to be a branch of the Tyrsenian family — the Aegean island dialect of the proto-Tyrsenian tradition that spread across the Aegean during the Kura-Araxes expansion (c. 3000 BC), the same tradition that survived on Lemnos as Lemnian and whose western Anatolian descendants eventually migrated to Italy around 700 BC to become Etruscan. Eteocretan, the post-Minoan language of Crete attested in a few Iron Age inscriptions, would then be the direct descendant of Minoan. This prediction is partially testable: Linear A's statistical properties (morpheme length distribution, suffix-heaviness, word boundary patterns) should be consistent with an agglutinative suffixing language if Minoan is Tyrsenian. Computational analyses of Linear A's structural properties are consistent with this expectation, though phonetic decipherment remains elusive.</w:t>
      </w:r>
    </w:p>
    <w:p w:rsidR="00000000" w:rsidDel="00000000" w:rsidP="00000000" w:rsidRDefault="00000000" w:rsidRPr="00000000" w14:paraId="00000124">
      <w:pPr>
        <w:pStyle w:val="Heading2"/>
        <w:rPr/>
      </w:pPr>
      <w:r>
        <w:rPr>
          <w:rtl w:val="0"/>
        </w:rPr>
        <w:t xml:space="preserve">11.3 The Alarodian Hypothesis Reconsidered</w:t>
      </w:r>
    </w:p>
    <w:p w:rsidR="00000000" w:rsidDel="00000000" w:rsidP="00000000" w:rsidRDefault="00000000" w:rsidRPr="00000000" w14:paraId="00000125">
      <w:pPr>
        <w:spacing w:after="120" w:before="120" w:line="480" w:lineRule="auto"/>
        <w:rPr/>
      </w:pPr>
      <w:r>
        <w:rPr>
          <w:rtl w:val="0"/>
        </w:rPr>
        <w:t xml:space="preserve">The Alarodian hypothesis — proposing a genetic relationship between Hurro-Urartian and Northeast Caucasian — is addressed within the CHG framework proposed here, but requires reinterpretation. Rather than HU being a branch of NE Caucasian, or NE Caucasian of HU, the structural similarities between HU and Nakh-Dagestanian languages are more parsimoniously explained as contact borrowing — specifically, extensive lexical and structural borrowing from Hurrian into the Nakh branch of NE Caucasian during the Kura-Araxes period, when Hurrian-adjacent and proto-Nakh populations shared the eastern Anatolian/Armenian Highland landscape for millennia. This contact explanation is supported by the uneven distribution of Alarodian parallels: they cluster in Nakh specifically, rather than being evenly distributed across NE Caucasian as expected from true common ancestry.</w:t>
      </w:r>
    </w:p>
    <w:p w:rsidR="00000000" w:rsidDel="00000000" w:rsidP="00000000" w:rsidRDefault="00000000" w:rsidRPr="00000000" w14:paraId="00000200">
      <w:pPr>
        <w:pStyle w:val="Heading2"/>
        <w:rPr/>
      </w:pPr>
      <w:r>
        <w:rPr>
          <w:rtl w:val="0"/>
        </w:rPr>
        <w:t xml:space="preserve">11.4 Methodological Considerations: Distinguishing Genealogical Signal from Noise</w:t>
      </w:r>
    </w:p>
    <w:p w:rsidR="00000000" w:rsidDel="00000000" w:rsidP="00000000" w:rsidRDefault="00000000" w:rsidRPr="00000000" w14:paraId="00000201">
      <w:pPr>
        <w:spacing w:after="120" w:before="120" w:line="480" w:lineRule="auto"/>
        <w:rPr/>
      </w:pPr>
      <w:r>
        <w:rPr>
          <w:rtl w:val="0"/>
        </w:rPr>
        <w:t xml:space="preserve">Long-range linguistic comparison has a troubled history. Joseph Greenberg’s mass comparison method — which grouped languages into macro-families by scanning for superficial lexical resemblances across large wordlists without applying the comparative method — was largely rejected by the specialist community as methodologically unsound, because resemblances between unrelated languages are common enough through chance, onomatopoeia, and undetected borrowing to produce spurious groupings at sufficient scale. The present proposal must be clearly distinguished from that tradition on several grounds.</w:t>
      </w:r>
    </w:p>
    <w:p w:rsidR="00000000" w:rsidDel="00000000" w:rsidP="00000000" w:rsidRDefault="00000000" w:rsidRPr="00000000" w14:paraId="00000202">
      <w:pPr>
        <w:spacing w:after="120" w:before="120" w:line="480" w:lineRule="auto"/>
        <w:rPr/>
      </w:pPr>
      <w:r>
        <w:rPr>
          <w:rtl w:val="0"/>
        </w:rPr>
        <w:t xml:space="preserve">First, the evidence presented here is not primarily lexical but structural. The core diagnostics — pure suffixing morphology, ergative-absolutive alignment, animacy-based nominal classes, and above all Suffixaufnahme — are typologically rare features whose independent invention in multiple families is improbable. Suffixaufnahme in particular is so unusual globally that its presence in Hurro-Urartian, Kartvelian, and partially in Etruscan constitutes a qualitatively different kind of evidence from lexical resemblance. Structural features are generally more resistant to borrowing than vocabulary and more informative about deep genealogical relationships.</w:t>
      </w:r>
    </w:p>
    <w:p w:rsidR="00000000" w:rsidDel="00000000" w:rsidP="00000000" w:rsidRDefault="00000000" w:rsidRPr="00000000" w14:paraId="00000203">
      <w:pPr>
        <w:spacing w:after="120" w:before="120" w:line="480" w:lineRule="auto"/>
        <w:rPr/>
      </w:pPr>
      <w:r>
        <w:rPr>
          <w:rtl w:val="0"/>
        </w:rPr>
        <w:t xml:space="preserve">This reliance on structural rather than lexical evidence is not merely a methodological preference — it is a practical necessity imposed by the nature of the data. The attested vocabulary of Hurro-Urartian is limited by the scope and genre of surviving cuneiform texts, which are heavily weighted toward administrative, ritual, and diplomatic registers and leave large domains of basic vocabulary unattested. Tyrsenian presents an even more severe limitation: Etruscan, despite over 10,000 inscriptions, is predominantly formulaic funerary and dedicatory text, and Lemnian is known from only two main inscriptions. The total recoverable basic vocabulary for meaningful cross-family comparison is therefore small, and at the time depths involved — potentially 6,000–8,000 years of separation — even genuine cognates would be expected to have diverged beyond recognition in most cases. Any vocabulary comparison across these families must therefore be treated with considerable caution, and negative evidence (absence of lexical parallels) cannot be taken as evidence against common ancestry. This limitation reinforces the decision to ground the primary argument in structural typology rather than lexical reconstruction.</w:t>
      </w:r>
    </w:p>
    <w:p w:rsidR="00000000" w:rsidDel="00000000" w:rsidP="00000000" w:rsidRDefault="00000000" w:rsidRPr="00000000" w14:paraId="00000204">
      <w:pPr>
        <w:spacing w:after="120" w:before="120" w:line="480" w:lineRule="auto"/>
        <w:rPr/>
      </w:pPr>
      <w:r>
        <w:rPr>
          <w:rtl w:val="0"/>
        </w:rPr>
        <w:t xml:space="preserve">Second, the pronominal evidence is evaluated critically rather than selectively. The paper explicitly acknowledges that Hurrian’s pronouns do not fit the proposed CHG pattern and devotes considerable analysis to explaining this anomaly through two alternative mechanisms — external contact replacement and internal back-formation — rather than dismissing it or cherry-picking only the supportive data. A mass comparison approach would simply ignore the Hurrian pronominal evidence or treat it as an unexplained exception.</w:t>
      </w:r>
    </w:p>
    <w:p w:rsidR="00000000" w:rsidDel="00000000" w:rsidP="00000000" w:rsidRDefault="00000000" w:rsidRPr="00000000" w14:paraId="00000205">
      <w:pPr>
        <w:spacing w:after="120" w:before="120" w:line="480" w:lineRule="auto"/>
        <w:rPr/>
      </w:pPr>
      <w:r>
        <w:rPr>
          <w:rtl w:val="0"/>
        </w:rPr>
        <w:t xml:space="preserve">Third, the hypothesis is embedded in and constrained by archaeogenetic evidence. The CHG macro-family is not proposed on linguistic grounds alone but is anchored to a genetically identified population — Caucasian Hunter-Gatherers — whose geographic distribution, temporal depth, and migration patterns are independently documented through ancient DNA. This provides an external check on the linguistic proposal that Greenberg-style macro-comparisons entirely lack. The linguistic grouping must be consistent with the population genetic record, and I have argued throughout that it is.</w:t>
      </w:r>
    </w:p>
    <w:p w:rsidR="00000000" w:rsidDel="00000000" w:rsidP="00000000" w:rsidRDefault="00000000" w:rsidRPr="00000000" w14:paraId="00000206">
      <w:pPr>
        <w:spacing w:after="120" w:before="120" w:line="480" w:lineRule="auto"/>
        <w:rPr/>
      </w:pPr>
      <w:r>
        <w:rPr>
          <w:rtl w:val="0"/>
        </w:rPr>
        <w:t xml:space="preserve">Fourth, the proposal is falsifiable. Specific predictions follow from the CHG hypothesis that could in principle refute it: if Minoan (when deciphered) shows no structural affinity to the Tyrsenian family, or if Lemnian archaisms prove to be innovations rather than retentions upon closer analysis, either outcome would substantially undermine the framework. The CHG linguistic hypothesis makes testable predictions; it is not merely a classificatory scheme imposed on the data.</w:t>
      </w:r>
    </w:p>
    <w:p w:rsidR="00000000" w:rsidDel="00000000" w:rsidP="00000000" w:rsidRDefault="00000000" w:rsidRPr="00000000" w14:paraId="00000207">
      <w:pPr>
        <w:spacing w:after="120" w:before="120" w:line="480" w:lineRule="auto"/>
        <w:rPr/>
      </w:pPr>
      <w:r>
        <w:rPr>
          <w:rtl w:val="0"/>
        </w:rPr>
        <w:t xml:space="preserve">These distinctions do not make the proposal immune to criticism, and the author is under no illusion that the evidence presented here rises to the standard of proof required for formal genealogical classification. What is claimed is more modest: that the convergent evidence from structural typology, pronominal comparison, phonological gradients, and archaeogenetics makes the CHG macro-family hypothesis more probable than the null hypothesis of independent isolation, and sufficiently well-grounded to warrant systematic investigation by specialists in each of the component families.</w:t>
      </w:r>
    </w:p>
    <w:p w:rsidR="00000000" w:rsidDel="00000000" w:rsidP="00000000" w:rsidRDefault="00000000" w:rsidRPr="00000000" w14:paraId="00000126">
      <w:pPr>
        <w:pStyle w:val="Heading2"/>
        <w:rPr/>
      </w:pPr>
      <w:r>
        <w:rPr>
          <w:rtl w:val="0"/>
        </w:rPr>
        <w:t xml:space="preserve">11.5 Outstanding Problems</w:t>
      </w:r>
    </w:p>
    <w:p w:rsidR="00000000" w:rsidDel="00000000" w:rsidP="00000000" w:rsidRDefault="00000000" w:rsidRPr="00000000" w14:paraId="00000127">
      <w:pPr>
        <w:spacing w:after="120" w:before="120" w:line="480" w:lineRule="auto"/>
        <w:rPr/>
      </w:pPr>
      <w:r>
        <w:rPr>
          <w:rtl w:val="0"/>
        </w:rPr>
        <w:t xml:space="preserve">Several problems remain unresolved and are acknowledged as limitations of the current proposal. The mechanism of Etruscan language arrival in Tuscany via a western Anatolian elite during the Orientalizing period — explaining cultural discontinuity without genetic discontinuity — requires quantitative modeling of elite-driven language shift scenarios to determine what minimum migration size is sufficient to produce the observed cultural transformation. The complete replacement of the Hurrian pronominal system, while paralleled by the PIE case, lacks direct evidence of the contact language responsible. The Kassite corpus of 48 words is too small for rigorous phonological reconstruction. Minoan remains undeciphered.</w:t>
      </w:r>
    </w:p>
    <w:p w:rsidR="00000000" w:rsidDel="00000000" w:rsidP="00000000" w:rsidRDefault="00000000" w:rsidRPr="00000000" w14:paraId="00000300">
      <w:pPr>
        <w:spacing w:after="120" w:before="120" w:line="480" w:lineRule="auto"/>
        <w:rPr/>
      </w:pPr>
      <w:r>
        <w:rPr>
          <w:rtl w:val="0"/>
        </w:rPr>
        <w:t xml:space="preserve">The most frequently raised objection to the CHG macro-family hypothesis concerns the absence of detectable vocabulary similarities across the three branches. This objection, while legitimate, is substantially weakened by three converging factors. First, Kartvelian separated from the HU-Tyrsenian branch earliest — the Kartvelian-HU split is estimated at approximately 8000–6000 BC — and at that time depth, even genuine cognates would be expected to have diverged beyond recognition; the Finnish-Hungarian comparison within Uralic, a much shallower split, already shows near-total basic vocabulary replacement. Second, Etruscan, the best-attested Tyrsenian language, came under heavy Indo-European influence during the process of establishing itself in its new Italian homeland — a period of intensive bilingual contact with surrounding Italic and later Latin-speaking populations that left a significant loanword layer capable of obscuring any residual CHG vocabulary. Third, the attested corpora of both Hurrian and Lemnian are too restricted in register to support systematic basic vocabulary comparison: Hurrian texts are overwhelmingly administrative, ritual, and diplomatic, leaving large domains of everyday vocabulary unattested, while Lemnian is known from approximately forty interpretable word forms in total.</w:t>
      </w:r>
    </w:p>
    <w:p w:rsidR="00000000" w:rsidDel="00000000" w:rsidP="00000000" w:rsidRDefault="00000000" w:rsidRPr="00000000" w14:paraId="00000301">
      <w:pPr>
        <w:spacing w:after="120" w:before="120" w:line="480" w:lineRule="auto"/>
        <w:rPr/>
      </w:pPr>
      <w:r>
        <w:rPr>
          <w:rtl w:val="0"/>
        </w:rPr>
        <w:t xml:space="preserve">These same factors generate a specific internal prediction. If vocabulary similarities survive anywhere within the CHG macro-family, they should be most detectable between Lemnian and Hurrian — the least Indo-European-contaminated and most archaic representatives of their respective branches, and the pair with the shallowest estimated separation. Lemnian preserves the archaic *-ai verbal suffix and the /o/ vowel lost in Etruscan, both of which align more closely with Hurrian than with classical Etruscan; these structural archaisms are consistent with Lemnian and Hurrian representing less-innovated ends of their lineages. A systematic focused comparison of Lemnian and Hurrian basic vocabulary has not yet been undertaken in the literature — existing comparative work has concentrated on the Etruscan-Hurrian pair (Akulov 2024) or on Etruscan-Kartvelian, leaving the Lemnian-Hurrian comparison as an open research question. The current corpus limitations make this prediction untestable with available data. It constitutes, however, a concrete falsifiable target: new Lemnian inscriptions or improved reconstruction of Hurrian basic vocabulary should, on the CHG hypothesis, yield more Tyrsenian-HU lexical correspondences than present data permit to identify. If, conversely, substantially improved data continue to show no lexical affinity between Lemnian and Hurrian beyond what chance predicts, this would constitute genuine evidence against the macro-family hypothesis.</w:t>
      </w:r>
    </w:p>
    <w:p w:rsidR="00000000" w:rsidDel="00000000" w:rsidP="00000000" w:rsidRDefault="00000000" w:rsidRPr="00000000" w14:paraId="00000302">
      <w:pPr>
        <w:spacing w:after="120" w:before="120" w:line="480" w:lineRule="auto"/>
        <w:rPr/>
      </w:pPr>
      <w:r>
        <w:rPr>
          <w:rtl w:val="0"/>
        </w:rPr>
        <w:t xml:space="preserve">Partial lexical support for the Tyrsenian-HU connection is nevertheless available at one particularly diagnostic domain: basic numerals. Blažek (2025), in a comprehensive systematic treatment of Etruscan numerals published in Graeco-Latina Brunensia, demonstrates that the numerals ‘one’ through ‘three’ — the most stable and least borrowing-prone stratum of any numeral system — have well-motivated Hurro-Urartian cognates. Etruscan θu ‘one’ corresponds to Hurrian šukki ~ šugi ‘one’ and Urartian šuki ‘once’, šusi(ni) ‘ein, einzig’ (first noted by Stoltenberg 1943; confirmed and documented by Blažek 2025). Etruscan ci ‘three’ corresponds to Hurrian kige ‘three’, kigae ‘dreifach’, kiški ‘three times/third’ — a correspondence already noted by Gluhak (1978), Ivanov (1988), and Orel &amp; Starostin (1990), and confirmed by Blažek. The ‘two’ comparison — Etruscan zal ~ Hurrian šina — is noted but flagged by Blažek as uncertain, since Hurro-Urartian *šina- ‘two’ may be a Semitic loan from Akkadian šina, potentially making the resemblance areal or coincidental rather than genetic. The phonological correspondence underlying the ‘one’ and ‘three’ equations — Etruscan θ-/c- corresponding to Hurrian š-/k- — is independently confirmed by the non-numeral pair Etruscan θi ‘water’ ~ Hurrian šije ‘water’ (Facchetti 2018; Akulov 2024), establishing it as a productive sound correspondence rather than an ad hoc equation. Beyond the numerals themselves, Blažek identifies a morphological isogloss: the Etruscan multiplicative suffix -z(i)/-tz corresponds to the Hurrian ordinal and multiplicative suffix -ži, an agreement at the level of bound morphology that is particularly resistant to chance resemblance or borrowing. Taken together, these numeral correspondences constitute precisely the kind of conservative basic vocabulary evidence that the vocabulary-absence objection demands — limited in scope, as the severe register and corpus constraints of the Tyrsenian-HU comparison require, but internally coherent and anchored to a regular phonological correspondence. Blažek himself frames the Hurro-Urartian parallels as the strongest external genetic hypothesis for Etruscan numerals, explicitly treating this relationship as a candidate for distant genealogical connection rather than contact borrowing.</w:t>
      </w:r>
    </w:p>
    <w:p w:rsidR="00000000" w:rsidDel="00000000" w:rsidP="00000000" w:rsidRDefault="00000000" w:rsidRPr="00000000" w14:paraId="00000128">
      <w:pPr>
        <w:spacing w:after="120" w:before="120" w:line="480" w:lineRule="auto"/>
        <w:rPr/>
      </w:pPr>
      <w:r>
        <w:rPr>
          <w:rtl w:val="0"/>
        </w:rPr>
        <w:t xml:space="preserve">These limitations notwithstanding, the convergent evidence from pronoun typology, grammatical architecture, phonological gradients, archaeogenetic population modeling, and the numeral correspondences documented by Blažek (2025) creates a framework that is substantially more parsimonious than treating HU, Kartvelian, and Tyrsenian as three independent isolates with no historical relationship.</w:t>
      </w:r>
    </w:p>
    <w:p w:rsidR="00000000" w:rsidDel="00000000" w:rsidP="00000000" w:rsidRDefault="00000000" w:rsidRPr="00000000" w14:paraId="00000129">
      <w:pPr>
        <w:pStyle w:val="Heading1"/>
        <w:rPr/>
      </w:pPr>
      <w:r>
        <w:rPr>
          <w:rtl w:val="0"/>
        </w:rPr>
        <w:t xml:space="preserve">12. Conclusion</w:t>
      </w:r>
    </w:p>
    <w:p w:rsidR="00000000" w:rsidDel="00000000" w:rsidP="00000000" w:rsidRDefault="00000000" w:rsidRPr="00000000" w14:paraId="0000012A">
      <w:pPr>
        <w:spacing w:after="120" w:before="120" w:line="480" w:lineRule="auto"/>
        <w:rPr/>
      </w:pPr>
      <w:r>
        <w:rPr>
          <w:rtl w:val="0"/>
        </w:rPr>
        <w:t xml:space="preserve">This paper has argued for the existence of a CHG macro-family comprising at minimum Kartvelian, Hurro-Urartian, and Tyrsenian, with Kassite as a probable eastern branch. The evidence for this grouping rests on four independent lines of argument: shared structural features (pure suffixing morphology, ergative alignment, animacy-based nominal classes, Suffixaufnahme) distributed precisely along the arc of CHG genetic ancestry; a five-vowel proto-phonological system that degrades progressively westward from Kartvelian through HU to Tyrsenian; a pronominal convergence between Kartvelian and Etruscan (exact *mi match) consistent with common ancestry; and the archaism profile of Lemnian relative to Etruscan, which confirms east-to-west directionality of the Tyrsenian dispersal.</w:t>
      </w:r>
    </w:p>
    <w:p w:rsidR="00000000" w:rsidDel="00000000" w:rsidP="00000000" w:rsidRDefault="00000000" w:rsidRPr="00000000" w14:paraId="0000012B">
      <w:pPr>
        <w:spacing w:after="120" w:before="120" w:line="480" w:lineRule="auto"/>
        <w:rPr/>
      </w:pPr>
      <w:r>
        <w:rPr>
          <w:rtl w:val="0"/>
        </w:rPr>
        <w:t xml:space="preserve">I have further proposed a two-layer model for pre-IE European linguistic substrate: a Cardial Ware / NE Caucasian-adjacent layer (ancestral to Basque) dating to the initial Neolithic agricultural expansion c. 6400 BC, and a Kura-Araxes / proto-Tyrsenian layer dating to the Early Bronze Age CHG expansion c. 3100–2500 BC. This model distributes the pre-IE isolates of historical Europe into two genetically and chronologically distinct events, resolving the longstanding puzzle of why Basque and Etruscan exist as apparently unrelated isolates in the same pre-IE substrate zone.</w:t>
      </w:r>
    </w:p>
    <w:p w:rsidR="00000000" w:rsidDel="00000000" w:rsidP="00000000" w:rsidRDefault="00000000" w:rsidRPr="00000000" w14:paraId="0000012C">
      <w:pPr>
        <w:spacing w:after="120" w:before="120" w:line="480" w:lineRule="auto"/>
        <w:rPr/>
      </w:pPr>
      <w:r>
        <w:rPr>
          <w:rtl w:val="0"/>
        </w:rPr>
        <w:t xml:space="preserve">The CHG linguistic world, extending from the Caucasian mountains in the north to the Zagros in the east and the Italian peninsula in the west, represents one of the most geographically extensive and temporally deep linguistic traditions recoverable from the pre-literate world. Its partial recovery, through the convergent analysis of historical linguistics, typology, and archaeogenetics, illustrates the potential of multidisciplinary approaches to resolve questions that neither field could address alone.</w:t>
      </w:r>
    </w:p>
    <w:p w:rsidR="00000000" w:rsidDel="00000000" w:rsidP="00000000" w:rsidRDefault="00000000" w:rsidRPr="00000000" w14:paraId="0000012D">
      <w:pPr>
        <w:pStyle w:val="Heading1"/>
        <w:rPr/>
      </w:pPr>
      <w:r>
        <w:rPr>
          <w:rtl w:val="0"/>
        </w:rPr>
        <w:t xml:space="preserve">References</w:t>
      </w:r>
    </w:p>
    <w:p w:rsidR="00000000" w:rsidDel="00000000" w:rsidP="00000000" w:rsidRDefault="00000000" w:rsidRPr="00000000" w14:paraId="0000012E">
      <w:pPr>
        <w:spacing w:after="120" w:before="120" w:line="480" w:lineRule="auto"/>
        <w:rPr/>
      </w:pPr>
      <w:r>
        <w:rPr>
          <w:rtl w:val="0"/>
        </w:rPr>
        <w:t xml:space="preserve">Akulov, A. (2024) ‘Structural and lexical comparisons of Etruscan and Hurro-Urartian.’ </w:t>
      </w:r>
      <w:r>
        <w:rPr>
          <w:i/>
          <w:iCs/>
          <w:rtl w:val="0"/>
        </w:rPr>
        <w:t xml:space="preserve">Cultural Anthropology and Ethnosemiotics</w:t>
      </w:r>
      <w:r>
        <w:rPr>
          <w:rtl w:val="0"/>
        </w:rPr>
        <w:t xml:space="preserve">.</w:t>
      </w:r>
    </w:p>
    <w:p w:rsidR="00000000" w:rsidDel="00000000" w:rsidP="00000000" w:rsidRDefault="00000000" w:rsidRPr="00000000" w14:paraId="0000012F">
      <w:pPr>
        <w:spacing w:after="120" w:before="120" w:line="480" w:lineRule="auto"/>
        <w:rPr/>
      </w:pPr>
      <w:r>
        <w:rPr>
          <w:rtl w:val="0"/>
        </w:rPr>
        <w:t xml:space="preserve">Blažek, V. &amp; Bengtson, J. (1995) ‘Lexica Dene-Caucasica.’ </w:t>
      </w:r>
      <w:r>
        <w:rPr>
          <w:i/>
          <w:iCs/>
          <w:rtl w:val="0"/>
        </w:rPr>
        <w:t xml:space="preserve">Central Asiatic Journal</w:t>
      </w:r>
      <w:r>
        <w:rPr>
          <w:rtl w:val="0"/>
        </w:rPr>
        <w:t xml:space="preserve"> 39: 11–50.</w:t>
      </w:r>
    </w:p>
    <w:p w:rsidR="00000000" w:rsidDel="00000000" w:rsidP="00000000" w:rsidRDefault="00000000" w:rsidRPr="00000000" w14:paraId="00000130">
      <w:pPr>
        <w:spacing w:after="120" w:before="120" w:line="480" w:lineRule="auto"/>
        <w:rPr/>
      </w:pPr>
      <w:r>
        <w:rPr>
          <w:rtl w:val="0"/>
        </w:rPr>
        <w:t xml:space="preserve">Blažek, V. (1999) </w:t>
      </w:r>
      <w:r>
        <w:rPr>
          <w:i/>
          <w:iCs/>
          <w:rtl w:val="0"/>
        </w:rPr>
        <w:t xml:space="preserve">Numerals: Comparative-Etymological Analyses and their Implications</w:t>
      </w:r>
      <w:r>
        <w:rPr>
          <w:rtl w:val="0"/>
        </w:rPr>
        <w:t xml:space="preserve">. Brno: Masaryk University.</w:t>
      </w:r>
    </w:p>
    <w:p w:rsidR="00000000" w:rsidDel="00000000" w:rsidP="00000000" w:rsidRDefault="00000000" w:rsidRPr="00000000" w14:paraId="00000303">
      <w:pPr>
        <w:spacing w:after="120" w:before="120" w:line="480" w:lineRule="auto"/>
        <w:rPr/>
      </w:pPr>
      <w:r>
        <w:rPr>
          <w:rtl w:val="0"/>
        </w:rPr>
        <w:t xml:space="preserve">Blažek, V. (2025) ‘Etruscan numerals.’ </w:t>
      </w:r>
      <w:r>
        <w:rPr>
          <w:i/>
          <w:iCs/>
          <w:rtl w:val="0"/>
        </w:rPr>
        <w:t xml:space="preserve">Graeco-Latina Brunensia</w:t>
      </w:r>
      <w:r>
        <w:rPr>
          <w:rtl w:val="0"/>
        </w:rPr>
        <w:t xml:space="preserve"> 30(2): 5–29. https://doi.org/10.5817/GLB2025-2-1</w:t>
      </w:r>
    </w:p>
    <w:p w:rsidR="00000000" w:rsidDel="00000000" w:rsidP="00000000" w:rsidRDefault="00000000" w:rsidRPr="00000000" w14:paraId="00000131">
      <w:pPr>
        <w:spacing w:after="120" w:before="120" w:line="480" w:lineRule="auto"/>
        <w:rPr/>
      </w:pPr>
      <w:r>
        <w:rPr>
          <w:rtl w:val="0"/>
        </w:rPr>
        <w:t xml:space="preserve">Bomhard, A. (2019) ‘The Origins of Proto-Indo-European.’ </w:t>
      </w:r>
      <w:r>
        <w:rPr>
          <w:i/>
          <w:iCs/>
          <w:rtl w:val="0"/>
        </w:rPr>
        <w:t xml:space="preserve">Journal of Indo-European Studies</w:t>
      </w:r>
      <w:r>
        <w:rPr>
          <w:rtl w:val="0"/>
        </w:rPr>
        <w:t xml:space="preserve">.</w:t>
      </w:r>
    </w:p>
    <w:p w:rsidR="00000000" w:rsidDel="00000000" w:rsidP="00000000" w:rsidRDefault="00000000" w:rsidRPr="00000000" w14:paraId="00000132">
      <w:pPr>
        <w:spacing w:after="120" w:before="120" w:line="480" w:lineRule="auto"/>
        <w:rPr/>
      </w:pPr>
      <w:r>
        <w:rPr>
          <w:rtl w:val="0"/>
        </w:rPr>
        <w:t xml:space="preserve">Diakonoff, I. &amp; Starostin, S. (1986) ‘Hurro-Urartian as an Eastern Caucasian Language.’ </w:t>
      </w:r>
      <w:r>
        <w:rPr>
          <w:i/>
          <w:iCs/>
          <w:rtl w:val="0"/>
        </w:rPr>
        <w:t xml:space="preserve">Münchener Studien zur Sprachwissenschaft</w:t>
      </w:r>
      <w:r>
        <w:rPr>
          <w:rtl w:val="0"/>
        </w:rPr>
        <w:t xml:space="preserve">, Beiheft NF 12.</w:t>
      </w:r>
    </w:p>
    <w:p w:rsidR="00000000" w:rsidDel="00000000" w:rsidP="00000000" w:rsidRDefault="00000000" w:rsidRPr="00000000" w14:paraId="00000133">
      <w:pPr>
        <w:spacing w:after="120" w:before="120" w:line="480" w:lineRule="auto"/>
        <w:rPr/>
      </w:pPr>
      <w:r>
        <w:rPr>
          <w:rtl w:val="0"/>
        </w:rPr>
        <w:t xml:space="preserve">Facchetti, G. (2002) </w:t>
      </w:r>
      <w:r>
        <w:rPr>
          <w:i/>
          <w:iCs/>
          <w:rtl w:val="0"/>
        </w:rPr>
        <w:t xml:space="preserve">Appendice sulla questione delle affinità genetiche dell’etrusco</w:t>
      </w:r>
      <w:r>
        <w:rPr>
          <w:rtl w:val="0"/>
        </w:rPr>
        <w:t xml:space="preserve">. Florence: n.p.</w:t>
      </w:r>
    </w:p>
    <w:p w:rsidR="00000000" w:rsidDel="00000000" w:rsidP="00000000" w:rsidRDefault="00000000" w:rsidRPr="00000000" w14:paraId="00000134">
      <w:pPr>
        <w:spacing w:after="120" w:before="120" w:line="480" w:lineRule="auto"/>
        <w:rPr/>
      </w:pPr>
      <w:r>
        <w:rPr>
          <w:rtl w:val="0"/>
        </w:rPr>
        <w:t xml:space="preserve">Fournet, A. (2011) ‘Kassite as a branch of the Hurro-Urartian language family.’ </w:t>
      </w:r>
      <w:r>
        <w:rPr>
          <w:i/>
          <w:iCs/>
          <w:rtl w:val="0"/>
        </w:rPr>
        <w:t xml:space="preserve">The Macro-Comparative Journal</w:t>
      </w:r>
      <w:r>
        <w:rPr>
          <w:rtl w:val="0"/>
        </w:rPr>
        <w:t xml:space="preserve"> 2(1).</w:t>
      </w:r>
    </w:p>
    <w:p w:rsidR="00000000" w:rsidDel="00000000" w:rsidP="00000000" w:rsidRDefault="00000000" w:rsidRPr="00000000" w14:paraId="00000304">
      <w:pPr>
        <w:spacing w:after="120" w:before="120" w:line="480" w:lineRule="auto"/>
        <w:rPr/>
      </w:pPr>
      <w:r>
        <w:rPr>
          <w:rtl w:val="0"/>
        </w:rPr>
        <w:t xml:space="preserve">Ghirotto, S., Tassi, F. &amp; Barbujani, G. (2013) ‘Origins and evolution of the Etruscans’ mtDNA.’ </w:t>
      </w:r>
      <w:r>
        <w:rPr>
          <w:i/>
          <w:iCs/>
          <w:rtl w:val="0"/>
        </w:rPr>
        <w:t xml:space="preserve">PLOS ONE</w:t>
      </w:r>
      <w:r>
        <w:rPr>
          <w:rtl w:val="0"/>
        </w:rPr>
        <w:t xml:space="preserve"> 8(2): e55519. https://doi.org/10.1371/journal.pone.0055519</w:t>
      </w:r>
    </w:p>
    <w:p w:rsidR="00000000" w:rsidDel="00000000" w:rsidP="00000000" w:rsidRDefault="00000000" w:rsidRPr="00000000" w14:paraId="00000305">
      <w:pPr>
        <w:spacing w:after="120" w:before="120" w:line="480" w:lineRule="auto"/>
        <w:rPr/>
      </w:pPr>
      <w:r>
        <w:rPr>
          <w:rtl w:val="0"/>
        </w:rPr>
        <w:t xml:space="preserve">Howells, C. (2024) ‘Do genetic studies refute the Etruscans’ Anatolian origin?’ </w:t>
      </w:r>
      <w:r>
        <w:rPr>
          <w:i/>
          <w:iCs/>
          <w:rtl w:val="0"/>
        </w:rPr>
        <w:t xml:space="preserve">TheCollector</w:t>
      </w:r>
      <w:r>
        <w:rPr>
          <w:rtl w:val="0"/>
        </w:rPr>
        <w:t xml:space="preserve">, 11 September 2024. https://www.thecollector.com/etruscan-genetic-studies-anatolian-origin/</w:t>
      </w:r>
    </w:p>
    <w:p w:rsidR="00000000" w:rsidDel="00000000" w:rsidP="00000000" w:rsidRDefault="00000000" w:rsidRPr="00000000" w14:paraId="00000136">
      <w:pPr>
        <w:spacing w:after="120" w:before="120" w:line="480" w:lineRule="auto"/>
        <w:rPr/>
      </w:pPr>
      <w:r>
        <w:rPr>
          <w:rtl w:val="0"/>
        </w:rPr>
        <w:t xml:space="preserve">Gavashelishvili, A., Chukhua, M., Sakhltkhutsishvili, K. et al. (2023) ‘The time and place of origin of South Caucasian languages: insights into past human societies, ecosystems and human population genetics.’ </w:t>
      </w:r>
      <w:r>
        <w:rPr>
          <w:i/>
          <w:iCs/>
          <w:rtl w:val="0"/>
        </w:rPr>
        <w:t xml:space="preserve">Scientific Reports</w:t>
      </w:r>
      <w:r>
        <w:rPr>
          <w:rtl w:val="0"/>
        </w:rPr>
        <w:t xml:space="preserve"> 13: 21133. https://doi.org/10.1038/s41598-023-45500-w</w:t>
      </w:r>
    </w:p>
    <w:p w:rsidR="00000000" w:rsidDel="00000000" w:rsidP="00000000" w:rsidRDefault="00000000" w:rsidRPr="00000000" w14:paraId="00000304">
      <w:pPr>
        <w:spacing w:after="120" w:before="120" w:line="480" w:lineRule="auto"/>
        <w:rPr/>
      </w:pPr>
      <w:r>
        <w:rPr>
          <w:rtl w:val="0"/>
        </w:rPr>
        <w:t xml:space="preserve">Ghirotto, S., Tassi, F. &amp; Barbujani, G. (2013) ‘Origins and evolution of the Etruscans’ mtDNA.’ </w:t>
      </w:r>
      <w:r>
        <w:rPr>
          <w:i/>
          <w:iCs/>
          <w:rtl w:val="0"/>
        </w:rPr>
        <w:t xml:space="preserve">PLOS ONE</w:t>
      </w:r>
      <w:r>
        <w:rPr>
          <w:rtl w:val="0"/>
        </w:rPr>
        <w:t xml:space="preserve"> 8(2): e55519. https://doi.org/10.1371/journal.pone.0055519</w:t>
      </w:r>
    </w:p>
    <w:p w:rsidR="00000000" w:rsidDel="00000000" w:rsidP="00000000" w:rsidRDefault="00000000" w:rsidRPr="00000000" w14:paraId="00000137">
      <w:pPr>
        <w:spacing w:after="120" w:before="120" w:line="480" w:lineRule="auto"/>
        <w:rPr/>
      </w:pPr>
      <w:r>
        <w:rPr>
          <w:rtl w:val="0"/>
        </w:rPr>
        <w:t xml:space="preserve">Jones, E. R. et al. (2015) ‘Upper Palaeolithic genomes reveal deep roots of modern Eurasians.’ </w:t>
      </w:r>
      <w:r>
        <w:rPr>
          <w:i/>
          <w:iCs/>
          <w:rtl w:val="0"/>
        </w:rPr>
        <w:t xml:space="preserve">Nature Communications</w:t>
      </w:r>
      <w:r>
        <w:rPr>
          <w:rtl w:val="0"/>
        </w:rPr>
        <w:t xml:space="preserve"> 6: 8912. https://doi.org/10.1038/ncomms9912</w:t>
      </w:r>
    </w:p>
    <w:p w:rsidR="00000000" w:rsidDel="00000000" w:rsidP="00000000" w:rsidRDefault="00000000" w:rsidRPr="00000000" w14:paraId="00000135">
      <w:pPr>
        <w:spacing w:after="120" w:before="120" w:line="480" w:lineRule="auto"/>
        <w:rPr/>
      </w:pPr>
      <w:r>
        <w:rPr>
          <w:rtl w:val="0"/>
        </w:rPr>
        <w:t xml:space="preserve">Kortlandt, F. (2010) </w:t>
      </w:r>
      <w:r>
        <w:rPr>
          <w:i/>
          <w:iCs/>
          <w:rtl w:val="0"/>
        </w:rPr>
        <w:t xml:space="preserve">Studies in Germanic, Indo-European and Indo-Uralic</w:t>
      </w:r>
      <w:r>
        <w:rPr>
          <w:rtl w:val="0"/>
        </w:rPr>
        <w:t xml:space="preserve">. Amsterdam: Rodopi.</w:t>
      </w:r>
    </w:p>
    <w:p w:rsidR="00000000" w:rsidDel="00000000" w:rsidP="00000000" w:rsidRDefault="00000000" w:rsidRPr="00000000" w14:paraId="00000139">
      <w:pPr>
        <w:spacing w:after="120" w:before="120" w:line="480" w:lineRule="auto"/>
        <w:rPr/>
      </w:pPr>
      <w:r>
        <w:rPr>
          <w:rtl w:val="0"/>
        </w:rPr>
        <w:t xml:space="preserve">Lazaridis, I. et al. (2022) ‘The genetic history of the Southern Arc: a bridge between West Asia and Europe.’ </w:t>
      </w:r>
      <w:r>
        <w:rPr>
          <w:i/>
          <w:iCs/>
          <w:rtl w:val="0"/>
        </w:rPr>
        <w:t xml:space="preserve">Science</w:t>
      </w:r>
      <w:r>
        <w:rPr>
          <w:rtl w:val="0"/>
        </w:rPr>
        <w:t xml:space="preserve"> 377: eabm4247.</w:t>
      </w:r>
    </w:p>
    <w:p w:rsidR="00000000" w:rsidDel="00000000" w:rsidP="00000000" w:rsidRDefault="00000000" w:rsidRPr="00000000" w14:paraId="0000013A">
      <w:pPr>
        <w:spacing w:after="120" w:before="120" w:line="480" w:lineRule="auto"/>
        <w:rPr/>
      </w:pPr>
      <w:r>
        <w:rPr>
          <w:rtl w:val="0"/>
        </w:rPr>
        <w:t xml:space="preserve">Mattiangeli, V. et al. (2019) ‘Ancient human genome-wide data from a 3000-year interval in the Caucasus corresponds with eco-geographic regions.’ </w:t>
      </w:r>
      <w:r>
        <w:rPr>
          <w:i/>
          <w:iCs/>
          <w:rtl w:val="0"/>
        </w:rPr>
        <w:t xml:space="preserve">Nature Communications</w:t>
      </w:r>
      <w:r>
        <w:rPr>
          <w:rtl w:val="0"/>
        </w:rPr>
        <w:t xml:space="preserve"> 10: 590. https://doi.org/10.1038/s41467-018-08220-8</w:t>
      </w:r>
    </w:p>
    <w:p w:rsidR="00000000" w:rsidDel="00000000" w:rsidP="00000000" w:rsidRDefault="00000000" w:rsidRPr="00000000" w14:paraId="0000013B">
      <w:pPr>
        <w:spacing w:after="120" w:before="120" w:line="480" w:lineRule="auto"/>
        <w:rPr/>
      </w:pPr>
      <w:r>
        <w:rPr>
          <w:rtl w:val="0"/>
        </w:rPr>
        <w:t xml:space="preserve">Nichols, J. (1992) </w:t>
      </w:r>
      <w:r>
        <w:rPr>
          <w:i/>
          <w:iCs/>
          <w:rtl w:val="0"/>
        </w:rPr>
        <w:t xml:space="preserve">Linguistic Diversity in Space and Time</w:t>
      </w:r>
      <w:r>
        <w:rPr>
          <w:rtl w:val="0"/>
        </w:rPr>
        <w:t xml:space="preserve">. Chicago, IL: University of Chicago Press.</w:t>
      </w:r>
    </w:p>
    <w:p w:rsidR="00000000" w:rsidDel="00000000" w:rsidP="00000000" w:rsidRDefault="00000000" w:rsidRPr="00000000" w14:paraId="00000306">
      <w:pPr>
        <w:spacing w:after="120" w:before="120" w:line="480" w:lineRule="auto"/>
        <w:rPr/>
      </w:pPr>
      <w:r>
        <w:rPr>
          <w:rtl w:val="0"/>
        </w:rPr>
        <w:t xml:space="preserve">Nowlin, J. (2025) ‘Etruria and Anatolia: an ancient relationship framed by the modern views of orientalization.’ In J. Nowlin &amp; K. M. Phillips (eds) </w:t>
      </w:r>
      <w:r>
        <w:rPr>
          <w:i/>
          <w:iCs/>
          <w:rtl w:val="0"/>
        </w:rPr>
        <w:t xml:space="preserve">Etruria and Anatolia: Material Connections and Artistic Exchange</w:t>
      </w:r>
      <w:r>
        <w:rPr>
          <w:rtl w:val="0"/>
        </w:rPr>
        <w:t xml:space="preserve">. Cambridge: Cambridge University Press. https://doi.org/10.1017/9781009323772</w:t>
      </w:r>
    </w:p>
    <w:p w:rsidR="00000000" w:rsidDel="00000000" w:rsidP="00000000" w:rsidRDefault="00000000" w:rsidRPr="00000000" w14:paraId="00000307">
      <w:pPr>
        <w:spacing w:after="120" w:before="120" w:line="480" w:lineRule="auto"/>
        <w:rPr/>
      </w:pPr>
      <w:r>
        <w:rPr>
          <w:rtl w:val="0"/>
        </w:rPr>
        <w:t xml:space="preserve">Riva, C. (2010) </w:t>
      </w:r>
      <w:r>
        <w:rPr>
          <w:i/>
          <w:iCs/>
          <w:rtl w:val="0"/>
        </w:rPr>
        <w:t xml:space="preserve">The Urbanisation of Etruria: Funerary Practices and Social Change, 700–600 BC</w:t>
      </w:r>
      <w:r>
        <w:rPr>
          <w:rtl w:val="0"/>
        </w:rPr>
        <w:t xml:space="preserve">. Cambridge: Cambridge University Press.</w:t>
      </w:r>
    </w:p>
    <w:p w:rsidR="00000000" w:rsidDel="00000000" w:rsidP="00000000" w:rsidRDefault="00000000" w:rsidRPr="00000000" w14:paraId="0000013C">
      <w:pPr>
        <w:spacing w:after="120" w:before="120" w:line="480" w:lineRule="auto"/>
        <w:rPr/>
      </w:pPr>
      <w:r>
        <w:rPr>
          <w:rtl w:val="0"/>
        </w:rPr>
        <w:t xml:space="preserve">Rix, H. (1998) </w:t>
      </w:r>
      <w:r>
        <w:rPr>
          <w:i/>
          <w:iCs/>
          <w:rtl w:val="0"/>
        </w:rPr>
        <w:t xml:space="preserve">Rätisch und Etruskisch</w:t>
      </w:r>
      <w:r>
        <w:rPr>
          <w:rtl w:val="0"/>
        </w:rPr>
        <w:t xml:space="preserve">. Innsbruck: Innsbrucker Beiträge zur Sprachwissenschaft.</w:t>
      </w:r>
    </w:p>
    <w:p w:rsidR="00000000" w:rsidDel="00000000" w:rsidP="00000000" w:rsidRDefault="00000000" w:rsidRPr="00000000" w14:paraId="0000013D">
      <w:pPr>
        <w:spacing w:after="120" w:before="120" w:line="480" w:lineRule="auto"/>
        <w:rPr/>
      </w:pPr>
      <w:r>
        <w:rPr>
          <w:rtl w:val="0"/>
        </w:rPr>
        <w:t xml:space="preserve">Salvini, M. (2008) </w:t>
      </w:r>
      <w:r>
        <w:rPr>
          <w:i/>
          <w:iCs/>
          <w:rtl w:val="0"/>
        </w:rPr>
        <w:t xml:space="preserve">Corpus dei testi urartei</w:t>
      </w:r>
      <w:r>
        <w:rPr>
          <w:rtl w:val="0"/>
        </w:rPr>
        <w:t xml:space="preserve">. Rome: CNR.</w:t>
      </w:r>
    </w:p>
    <w:p w:rsidR="00000000" w:rsidDel="00000000" w:rsidP="00000000" w:rsidRDefault="00000000" w:rsidRPr="00000000" w14:paraId="0000013E">
      <w:pPr>
        <w:spacing w:after="120" w:before="120" w:line="480" w:lineRule="auto"/>
        <w:rPr/>
      </w:pPr>
      <w:r>
        <w:rPr>
          <w:rtl w:val="0"/>
        </w:rPr>
        <w:t xml:space="preserve">Starostin, S. (1998) ‘The Dene-Caucasian superfamily.’ In: Shevoroshkin, V. (ed.) </w:t>
      </w:r>
      <w:r>
        <w:rPr>
          <w:i/>
          <w:iCs/>
          <w:rtl w:val="0"/>
        </w:rPr>
        <w:t xml:space="preserve">Reconstructing Languages and Cultures</w:t>
      </w:r>
      <w:r>
        <w:rPr>
          <w:rtl w:val="0"/>
        </w:rPr>
        <w:t xml:space="preserve">. Bochum: Brockmeyer.</w:t>
      </w:r>
    </w:p>
    <w:p w:rsidR="00000000" w:rsidDel="00000000" w:rsidP="00000000" w:rsidRDefault="00000000" w:rsidRPr="00000000" w14:paraId="0000013F">
      <w:pPr>
        <w:spacing w:after="120" w:before="120" w:line="480" w:lineRule="auto"/>
        <w:rPr/>
      </w:pPr>
      <w:r>
        <w:rPr>
          <w:rtl w:val="0"/>
        </w:rPr>
        <w:t xml:space="preserve">Wegner, I. (2007) </w:t>
      </w:r>
      <w:r>
        <w:rPr>
          <w:i/>
          <w:iCs/>
          <w:rtl w:val="0"/>
        </w:rPr>
        <w:t xml:space="preserve">Einführung in die hurritische Sprache</w:t>
      </w:r>
      <w:r>
        <w:rPr>
          <w:rtl w:val="0"/>
        </w:rPr>
        <w:t xml:space="preserve">. 2nd edn. Wiesbaden: Harrassowitz.</w:t>
      </w:r>
    </w:p>
    <w:p w:rsidR="00000000" w:rsidDel="00000000" w:rsidP="00000000" w:rsidRDefault="00000000" w:rsidRPr="00000000" w14:paraId="00000140">
      <w:pPr>
        <w:spacing w:after="120" w:before="120" w:line="480" w:lineRule="auto"/>
        <w:rPr/>
      </w:pPr>
      <w:r>
        <w:rPr>
          <w:rtl w:val="0"/>
        </w:rPr>
        <w:t xml:space="preserve">Wilhelm, G. (1989) </w:t>
      </w:r>
      <w:r>
        <w:rPr>
          <w:i/>
          <w:iCs/>
          <w:rtl w:val="0"/>
        </w:rPr>
        <w:t xml:space="preserve">The Hurrians</w:t>
      </w:r>
      <w:r>
        <w:rPr>
          <w:rtl w:val="0"/>
        </w:rPr>
        <w:t xml:space="preserve">. Warminster: Aris &amp; Phillips.</w:t>
      </w:r>
    </w:p>
    <w:p w:rsidR="00000000" w:rsidDel="00000000" w:rsidP="00000000" w:rsidRDefault="00000000" w:rsidRPr="00000000" w14:paraId="00000141">
      <w:pPr>
        <w:rPr/>
      </w:pPr>
      <w:r>
        <w:rPr>
          <w:rtl w:val="0"/>
        </w:rPr>
      </w:r>
    </w:p>
    <w:p w:rsidR="00000000" w:rsidDel="00000000" w:rsidP="00000000" w:rsidRDefault="00000000" w:rsidRPr="00000000" w14:paraId="00000142">
      <w:pPr>
        <w:pBdr>
          <w:top w:color="4472c4" w:space="4" w:sz="6" w:val="single"/>
        </w:pBdr>
        <w:spacing w:after="120" w:before="480" w:lineRule="auto"/>
        <w:jc w:val="center"/>
        <w:rPr/>
      </w:pPr>
      <w:r>
        <w:rPr>
          <w:b w:val="1"/>
          <w:bCs w:val="1"/>
          <w:color w:val="4472c4"/>
          <w:sz w:val="24"/>
          <w:szCs w:val="24"/>
          <w:rtl w:val="0"/>
        </w:rPr>
        <w:t xml:space="preserve">— END OF PAPER —</w:t>
      </w:r>
      <w:r>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New Roman" w:cs="Times New Roman" w:eastAsia="Times New Roman" w:hAnsi="Times New Roman"/>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480" w:lineRule="auto"/>
      <w:ind w:left="0" w:right="0" w:firstLine="0"/>
      <w:jc w:val="left"/>
    </w:pPr>
    <w:rPr>
      <w:rFonts w:ascii="Times New Roman" w:cs="Times New Roman" w:eastAsia="Times New Roman" w:hAnsi="Times New Roman"/>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Times New Roman" w:cs="Times New Roman" w:eastAsia="Times New Roman" w:hAnsi="Times New Roman"/>
      <w:b w:val="1"/>
      <w:bCs w:val="1"/>
      <w:i w:val="0"/>
      <w:iCs w:val="0"/>
      <w:smallCaps w:val="0"/>
      <w:strike w:val="0"/>
      <w:color w:val="2e5fa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Times New Roman" w:cs="Times New Roman" w:eastAsia="Times New Roman" w:hAnsi="Times New Roman"/>
      <w:b w:val="1"/>
      <w:bCs w:val="1"/>
      <w:i w:val="0"/>
      <w:iCs w:val="0"/>
      <w:smallCaps w:val="0"/>
      <w:strike w:val="0"/>
      <w:color w:val="4472c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Times New Roman" w:cs="Times New Roman" w:eastAsia="Times New Roman" w:hAnsi="Times New Roman"/>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