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lineRule="auto" w:line="276"/>
        <w:jc w:val="center"/>
        <w:rPr>
          <w:b/>
          <w:b/>
          <w:bCs/>
        </w:rPr>
      </w:pPr>
      <w:r>
        <w:rPr>
          <w:rStyle w:val="StrongEmphasis"/>
        </w:rPr>
        <w:t xml:space="preserve">Heuristic and Post Festum Analogies as </w:t>
      </w:r>
      <w:r>
        <w:rPr>
          <w:rStyle w:val="StrongEmphasis"/>
        </w:rPr>
        <w:t xml:space="preserve">linguistic </w:t>
      </w:r>
      <w:r>
        <w:rPr>
          <w:rStyle w:val="StrongEmphasis"/>
        </w:rPr>
        <w:t xml:space="preserve">Sites of Epistemic </w:t>
      </w:r>
      <w:r>
        <w:rPr>
          <w:rStyle w:val="StrongEmphasis"/>
        </w:rPr>
        <w:t>negotiation</w:t>
      </w:r>
      <w:r>
        <w:rPr>
          <w:rStyle w:val="StrongEmphasis"/>
        </w:rPr>
        <w:t xml:space="preserve"> in </w:t>
      </w:r>
      <w:r>
        <w:rPr>
          <w:rStyle w:val="StrongEmphasis"/>
        </w:rPr>
        <w:t>a Multilingual classroom</w:t>
      </w:r>
    </w:p>
    <w:p>
      <w:pPr>
        <w:pStyle w:val="TextBody"/>
        <w:spacing w:lineRule="auto" w:line="276"/>
        <w:jc w:val="center"/>
        <w:rPr>
          <w:b/>
          <w:b/>
          <w:bCs/>
        </w:rPr>
      </w:pPr>
      <w:r>
        <w:rPr>
          <w:rStyle w:val="StrongEmphasis"/>
          <w:b w:val="false"/>
          <w:bCs w:val="false"/>
        </w:rPr>
        <w:t>Atrayee Mukherjee</w:t>
      </w:r>
    </w:p>
    <w:p>
      <w:pPr>
        <w:pStyle w:val="TextBody"/>
        <w:spacing w:lineRule="auto" w:line="276"/>
        <w:jc w:val="center"/>
        <w:rPr>
          <w:b/>
          <w:b/>
          <w:bCs/>
        </w:rPr>
      </w:pPr>
      <w:r>
        <w:rPr>
          <w:rStyle w:val="StrongEmphasis"/>
          <w:b w:val="false"/>
          <w:bCs w:val="false"/>
        </w:rPr>
        <w:t>Indian Institute of Technology, Kharagpur</w:t>
      </w:r>
      <w:r>
        <w:rPr>
          <w:rStyle w:val="StrongEmphasis"/>
        </w:rPr>
        <w:t xml:space="preserve"> </w:t>
      </w:r>
    </w:p>
    <w:p>
      <w:pPr>
        <w:pStyle w:val="Normal"/>
        <w:spacing w:lineRule="auto" w:line="276"/>
        <w:jc w:val="both"/>
        <w:rPr>
          <w:b/>
          <w:b/>
          <w:bCs/>
        </w:rPr>
      </w:pPr>
      <w:r>
        <w:rPr>
          <w:b/>
          <w:bCs/>
        </w:rPr>
      </w:r>
    </w:p>
    <w:p>
      <w:pPr>
        <w:pStyle w:val="Normal"/>
        <w:spacing w:lineRule="auto" w:line="276"/>
        <w:jc w:val="both"/>
        <w:rPr>
          <w:b/>
          <w:b/>
          <w:bCs/>
        </w:rPr>
      </w:pPr>
      <w:r>
        <w:rPr>
          <w:b/>
          <w:bCs/>
        </w:rPr>
      </w:r>
    </w:p>
    <w:p>
      <w:pPr>
        <w:pStyle w:val="Normal"/>
        <w:spacing w:lineRule="auto" w:line="276"/>
        <w:jc w:val="both"/>
        <w:rPr>
          <w:b/>
          <w:b/>
          <w:bCs/>
        </w:rPr>
      </w:pPr>
      <w:r>
        <w:rPr>
          <w:b/>
          <w:bCs/>
        </w:rPr>
      </w:r>
    </w:p>
    <w:p>
      <w:pPr>
        <w:pStyle w:val="Normal"/>
        <w:spacing w:lineRule="auto" w:line="276"/>
        <w:jc w:val="left"/>
        <w:rPr>
          <w:b/>
          <w:b/>
          <w:bCs/>
        </w:rPr>
      </w:pPr>
      <w:r>
        <w:rPr>
          <w:b/>
          <w:bCs/>
        </w:rPr>
        <w:t xml:space="preserve">Abstract: </w:t>
      </w:r>
    </w:p>
    <w:p>
      <w:pPr>
        <w:pStyle w:val="Normal"/>
        <w:spacing w:lineRule="auto" w:line="276"/>
        <w:jc w:val="both"/>
        <w:rPr>
          <w:b/>
          <w:b/>
          <w:bCs/>
        </w:rPr>
      </w:pPr>
      <w:r>
        <w:rPr>
          <w:b/>
          <w:bCs/>
        </w:rPr>
      </w:r>
    </w:p>
    <w:p>
      <w:pPr>
        <w:pStyle w:val="Normal"/>
        <w:spacing w:lineRule="auto" w:line="276"/>
        <w:jc w:val="both"/>
        <w:rPr/>
      </w:pPr>
      <w:r>
        <w:rPr/>
        <w:t xml:space="preserve">This </w:t>
      </w:r>
      <w:r>
        <w:rPr/>
        <w:t xml:space="preserve">case </w:t>
      </w:r>
      <w:r>
        <w:rPr/>
        <w:t xml:space="preserve">study investigates how analogical reasoning in a multilingual Indian classroom reflects broader cultural, linguistic and epistemic dynamics. It focuses on the discrepancy between heuristic analogies generated by students and post festum analogies introduced by instructors. It employs the framework of cognitive grammar to examine how linguistic structures at different levels of organization facilitate or hinder the development of alternative conceptions during instruction. A qualitative research design was adopted which drew audio recorded classroom discourse and post-instructional interviews to capture </w:t>
      </w:r>
      <w:r>
        <w:rPr/>
        <w:t>t</w:t>
      </w:r>
      <w:r>
        <w:rPr/>
        <w:t xml:space="preserve">he learners post hoc reasoning. Narrow transcription and discourse analysis reveal how reduced proficiency, </w:t>
      </w:r>
      <w:r>
        <w:rPr/>
        <w:t>l</w:t>
      </w:r>
      <w:r>
        <w:rPr/>
        <w:t>anguage ideologies and socio cultural positioning shape the a</w:t>
      </w:r>
      <w:r>
        <w:rPr/>
        <w:t>ccess</w:t>
      </w:r>
      <w:r>
        <w:rPr/>
        <w:t xml:space="preserve"> of the learner to canonical knowledge. The findings suggest that heuristic analogies emerge </w:t>
      </w:r>
      <w:r>
        <w:rPr/>
        <w:t>through</w:t>
      </w:r>
      <w:r>
        <w:rPr/>
        <w:t xml:space="preserve"> a </w:t>
      </w:r>
      <w:r>
        <w:rPr/>
        <w:t>linguistically</w:t>
      </w:r>
      <w:r>
        <w:rPr/>
        <w:t xml:space="preserve"> mediated practice of meaning making </w:t>
      </w:r>
      <w:r>
        <w:rPr/>
        <w:t>where any artefact of language, as a structured inventory of symbols is situated within a broader socio-cultural domain. It furthermore, investigates how the organization of instructional discourse shapes the analogies constructed by the students. By situating analogy as a site of epistemic negotiation, the study contributes to ongoing debates about equity identity and participation in science education highlighting the need to recognize analogical reasoning as a practice that both enables and constraints epistemic access.</w:t>
      </w:r>
    </w:p>
    <w:p>
      <w:pPr>
        <w:pStyle w:val="Normal"/>
        <w:spacing w:lineRule="auto" w:line="276"/>
        <w:jc w:val="both"/>
        <w:rPr/>
      </w:pPr>
      <w:r>
        <w:rPr/>
      </w:r>
    </w:p>
    <w:p>
      <w:pPr>
        <w:pStyle w:val="TextBody"/>
        <w:spacing w:lineRule="auto" w:line="276"/>
        <w:jc w:val="both"/>
        <w:rPr/>
      </w:pPr>
      <w:r>
        <w:rPr>
          <w:rStyle w:val="StrongEmphasis"/>
        </w:rPr>
        <w:t>Keywords</w:t>
      </w:r>
      <w:r>
        <w:rPr/>
        <w:t>: analogical reasoning, multilingualism, language ideologies, epistemic access, science education, cultural linguistics</w:t>
      </w:r>
    </w:p>
    <w:p>
      <w:pPr>
        <w:pStyle w:val="TextBody"/>
        <w:spacing w:lineRule="auto" w:line="276"/>
        <w:jc w:val="both"/>
        <w:rPr/>
      </w:pPr>
      <w:r>
        <w:rPr/>
      </w:r>
    </w:p>
    <w:p>
      <w:pPr>
        <w:pStyle w:val="TextBody"/>
        <w:spacing w:lineRule="auto" w:line="276"/>
        <w:jc w:val="both"/>
        <w:rPr>
          <w:b/>
          <w:b/>
          <w:bCs/>
        </w:rPr>
      </w:pPr>
      <w:r>
        <w:rPr>
          <w:b/>
          <w:bCs/>
        </w:rPr>
        <w:t>1. Introduction</w:t>
      </w:r>
    </w:p>
    <w:p>
      <w:pPr>
        <w:pStyle w:val="TextBody"/>
        <w:spacing w:lineRule="auto" w:line="276"/>
        <w:jc w:val="both"/>
        <w:rPr>
          <w:b w:val="false"/>
          <w:b w:val="false"/>
          <w:bCs w:val="false"/>
        </w:rPr>
      </w:pPr>
      <w:r>
        <w:rPr>
          <w:b w:val="false"/>
          <w:bCs w:val="false"/>
        </w:rPr>
        <w:t xml:space="preserve">Analogical reasoning is central to learning, Yet the cultural and linguistic dimensions of analogical reasoning remain largely underexplored. The multilingual classroom is shaped by post colonial histories, epistemic hierarchies and language ideologies. This study investigates how analogies function not merely as a cognitive tool but as </w:t>
      </w:r>
      <w:r>
        <w:rPr>
          <w:b w:val="false"/>
          <w:bCs w:val="false"/>
        </w:rPr>
        <w:t>socio-</w:t>
      </w:r>
      <w:r>
        <w:rPr>
          <w:b w:val="false"/>
          <w:bCs w:val="false"/>
        </w:rPr>
        <w:t xml:space="preserve">culturally </w:t>
      </w:r>
      <w:r>
        <w:rPr>
          <w:b w:val="false"/>
          <w:bCs w:val="false"/>
        </w:rPr>
        <w:t>m</w:t>
      </w:r>
      <w:r>
        <w:rPr>
          <w:b w:val="false"/>
          <w:bCs w:val="false"/>
        </w:rPr>
        <w:t>ediated practices that reflect and reproduce power identity and access in education. The contrast of heuristic analogies generated by students with post festive analogies introduced by instructor</w:t>
      </w:r>
      <w:r>
        <w:rPr>
          <w:b w:val="false"/>
          <w:bCs w:val="false"/>
        </w:rPr>
        <w:t>s, situates analogy construction as a site of epistemic negotiation.</w:t>
      </w:r>
    </w:p>
    <w:p>
      <w:pPr>
        <w:pStyle w:val="TextBody"/>
        <w:spacing w:lineRule="auto" w:line="276"/>
        <w:jc w:val="both"/>
        <w:rPr>
          <w:b w:val="false"/>
          <w:b w:val="false"/>
          <w:bCs w:val="false"/>
        </w:rPr>
      </w:pPr>
      <w:r>
        <w:rPr>
          <w:b w:val="false"/>
          <w:bCs w:val="false"/>
        </w:rPr>
        <w:t xml:space="preserve">In the multilingual Indian classroom, </w:t>
      </w:r>
      <w:r>
        <w:rPr>
          <w:b w:val="false"/>
          <w:bCs w:val="false"/>
        </w:rPr>
        <w:t>t</w:t>
      </w:r>
      <w:r>
        <w:rPr>
          <w:b w:val="false"/>
          <w:bCs w:val="false"/>
        </w:rPr>
        <w:t xml:space="preserve">ranslanguaging are acts of cultural negotiation that shape the learner's access to canonical discourse. A typical challenge in learning, </w:t>
      </w:r>
      <w:r>
        <w:rPr>
          <w:b w:val="false"/>
          <w:bCs w:val="false"/>
        </w:rPr>
        <w:t>i</w:t>
      </w:r>
      <w:r>
        <w:rPr>
          <w:b w:val="false"/>
          <w:bCs w:val="false"/>
        </w:rPr>
        <w:t xml:space="preserve">n the context of science learning has been pointed out by Okhee </w:t>
      </w:r>
      <w:r>
        <w:rPr>
          <w:b w:val="false"/>
          <w:bCs w:val="false"/>
        </w:rPr>
        <w:t xml:space="preserve">lee in 2003. Students with diverse language backgrounds and cultures come to the classroom with knowledge that is already constructed through their home language and cultural values and community environments. Discontinuities therefore arise between expectations of the learner and the practices which require them to shift between different types of knowledge practices. They refer to the work of Driver, Asoko, Leach, Mortimer and Scott 1994; O’loughlin in 1992. Intragroup variations or individual variation becomes then a very complicated issue when students from very diverse languages and cultures come together in a single place which becomes a site of epistemic negotiation. Okhee Lee specifically talks about the vast range of proficiency levels in the home language and English. Scientific conceptions are often counterintuitive and may not coincide with how the student makes sense in their everyday life of different things. The process of understanding involves integration of new knowledge with prior knowledge and experience as pointed out by Driver in 1994. </w:t>
      </w:r>
    </w:p>
    <w:p>
      <w:pPr>
        <w:pStyle w:val="TextBody"/>
        <w:spacing w:lineRule="auto" w:line="276"/>
        <w:jc w:val="both"/>
        <w:rPr>
          <w:b w:val="false"/>
          <w:b w:val="false"/>
          <w:bCs w:val="false"/>
        </w:rPr>
      </w:pPr>
      <w:r>
        <w:rPr>
          <w:b w:val="false"/>
          <w:bCs w:val="false"/>
        </w:rPr>
        <w:t xml:space="preserve">J.L Lemke in 2001 </w:t>
      </w:r>
      <w:r>
        <w:rPr>
          <w:b w:val="false"/>
          <w:bCs w:val="false"/>
        </w:rPr>
        <w:t>presents a case against pure cartesian mentalism through the work</w:t>
      </w:r>
      <w:r>
        <w:rPr>
          <w:b w:val="false"/>
          <w:bCs w:val="false"/>
        </w:rPr>
        <w:t xml:space="preserve"> of Shapi</w:t>
      </w:r>
      <w:r>
        <w:rPr>
          <w:b w:val="false"/>
          <w:bCs w:val="false"/>
        </w:rPr>
        <w:t>n</w:t>
      </w:r>
      <w:r>
        <w:rPr>
          <w:b w:val="false"/>
          <w:bCs w:val="false"/>
        </w:rPr>
        <w:t xml:space="preserve"> and Schaffer 1985, Latour 1987, Lynch and Woolgar 1990, Hutchins 1980, Haraway 1989, 1991, 1999. They present </w:t>
      </w:r>
      <w:r>
        <w:rPr>
          <w:b w:val="false"/>
          <w:bCs w:val="false"/>
        </w:rPr>
        <w:t>science</w:t>
      </w:r>
      <w:r>
        <w:rPr>
          <w:b w:val="false"/>
          <w:bCs w:val="false"/>
        </w:rPr>
        <w:t xml:space="preserve"> as involving instrumentation that distributes cognition between people and artifact, </w:t>
      </w:r>
      <w:r>
        <w:rPr>
          <w:b w:val="false"/>
          <w:bCs w:val="false"/>
        </w:rPr>
        <w:t xml:space="preserve">people and people </w:t>
      </w:r>
      <w:r>
        <w:rPr>
          <w:b w:val="false"/>
          <w:bCs w:val="false"/>
        </w:rPr>
        <w:t xml:space="preserve">which is mediated by artifacts discourses symbolic representations etc. The interesting that is spoken about is the assumption of the conceptual change perspectives where people simply change a view about a topic without needing to change anything else about their lives and identities. The work of Sinclair </w:t>
      </w:r>
      <w:r>
        <w:rPr>
          <w:b w:val="false"/>
          <w:bCs w:val="false"/>
        </w:rPr>
        <w:t xml:space="preserve">and Coulthard 1975, Mehan 1979 talk about the lexical grammatical and discourse semantic properties of our actual classroom talk through studies of give and take in classroom dialogue. They focus on the subtleties of language which are pervasive in communicating ideas in the classroom pointing to the need of serious considerations of the needs of students who are less proficient in the language of instruction. </w:t>
      </w:r>
    </w:p>
    <w:p>
      <w:pPr>
        <w:pStyle w:val="TextBody"/>
        <w:spacing w:lineRule="auto" w:line="276"/>
        <w:jc w:val="both"/>
        <w:rPr>
          <w:b w:val="false"/>
          <w:b w:val="false"/>
          <w:bCs w:val="false"/>
        </w:rPr>
      </w:pPr>
      <w:r>
        <w:rPr>
          <w:b w:val="false"/>
          <w:bCs w:val="false"/>
        </w:rPr>
        <w:t xml:space="preserve">In the work </w:t>
      </w:r>
      <w:r>
        <w:rPr>
          <w:b w:val="false"/>
          <w:bCs w:val="false"/>
        </w:rPr>
        <w:t xml:space="preserve">of Glen S. Aikenhead, 1996, they point out that most students resist conceptual change because they do not risk altering a useful common sense conception in favor of a counterintuitive abstraction which is advanced by a teacher or textbook as pointed out by the work of Cobern 1994b; Hills 1989. This cannot be attributed to stupidity on the part of the student despite lack of education in what they are being instructed in. They refer to the work of Jegede 1995 to explain the various degrees of cognitive apartheid. </w:t>
      </w:r>
    </w:p>
    <w:p>
      <w:pPr>
        <w:pStyle w:val="TextBody"/>
        <w:spacing w:lineRule="auto" w:line="276"/>
        <w:jc w:val="both"/>
        <w:rPr>
          <w:b w:val="false"/>
          <w:b w:val="false"/>
          <w:bCs w:val="false"/>
        </w:rPr>
      </w:pPr>
      <w:r>
        <w:rPr>
          <w:b w:val="false"/>
          <w:bCs w:val="false"/>
        </w:rPr>
      </w:r>
    </w:p>
    <w:p>
      <w:pPr>
        <w:pStyle w:val="TextBody"/>
        <w:spacing w:lineRule="auto" w:line="276"/>
        <w:jc w:val="both"/>
        <w:rPr>
          <w:b/>
          <w:b/>
          <w:bCs/>
        </w:rPr>
      </w:pPr>
      <w:r>
        <w:rPr>
          <w:b/>
          <w:bCs/>
        </w:rPr>
        <w:t>1.1 Analogies in the classroom context</w:t>
      </w:r>
    </w:p>
    <w:p>
      <w:pPr>
        <w:pStyle w:val="P1a"/>
        <w:bidi w:val="0"/>
        <w:spacing w:lineRule="auto" w:line="276" w:before="0" w:after="160"/>
        <w:ind w:left="0" w:right="0" w:hanging="0"/>
        <w:jc w:val="both"/>
        <w:rPr/>
      </w:pPr>
      <w:r>
        <w:rPr>
          <w:b w:val="false"/>
          <w:bCs w:val="false"/>
          <w:sz w:val="24"/>
          <w:szCs w:val="24"/>
        </w:rPr>
        <w:t>“</w:t>
      </w:r>
      <w:r>
        <w:rPr>
          <w:b w:val="false"/>
          <w:bCs w:val="false"/>
          <w:sz w:val="24"/>
          <w:szCs w:val="24"/>
        </w:rPr>
        <w:t>An analogy expresses a relation of equivalence or likeness”(Justi &amp; Gilbert, 2006, p. 123). Classroom explanations of concepts rely on the construction of analogies. Analogies are drawn to explicate specific target concepts using a source concept by mapping between source and target. This draws crucially and fundamentally upon the notion of similarity. Comparison between standard and target is a ubiquitous cognitive phenomenon characteristic of the human mind with multiple ramifications for natural language. (langacker, 1987,1990, 2009, 2012, 2017). Gregory P Thomas adopts the word ‘ground’ from Weade and Earnst. He refers to ‘interpretive frames of reference’ which are usually founded upon prior experience and knowledge (Thomas, 2006).</w:t>
      </w:r>
    </w:p>
    <w:p>
      <w:pPr>
        <w:pStyle w:val="Normal"/>
        <w:bidi w:val="0"/>
        <w:spacing w:lineRule="auto" w:line="276" w:before="0" w:after="160"/>
        <w:ind w:left="0" w:right="0" w:hanging="0"/>
        <w:jc w:val="both"/>
        <w:rPr/>
      </w:pPr>
      <w:r>
        <w:rPr>
          <w:b w:val="false"/>
          <w:bCs w:val="false"/>
          <w:sz w:val="24"/>
          <w:szCs w:val="24"/>
        </w:rPr>
        <w:t>The very fundamental issue regarding the use of analogies as tools of explanation in the classroom  is with a single explanation that has to be generalizable across all the cognitive frameworks which pre exist across the classroom(Willison &amp; Taylor, 2006). In this context the classroom presents a pedagogical situation where planned and unplanned analogies are common occurrence.</w:t>
      </w:r>
    </w:p>
    <w:p>
      <w:pPr>
        <w:pStyle w:val="Normal"/>
        <w:bidi w:val="0"/>
        <w:spacing w:lineRule="auto" w:line="276" w:before="0" w:after="160"/>
        <w:ind w:left="0" w:right="0" w:hanging="0"/>
        <w:jc w:val="both"/>
        <w:rPr/>
      </w:pPr>
      <w:r>
        <w:rPr>
          <w:b w:val="false"/>
          <w:bCs w:val="false"/>
          <w:sz w:val="24"/>
          <w:szCs w:val="24"/>
        </w:rPr>
        <w:t xml:space="preserve"> </w:t>
      </w:r>
      <w:r>
        <w:rPr>
          <w:b w:val="false"/>
          <w:bCs w:val="false"/>
          <w:sz w:val="24"/>
          <w:szCs w:val="24"/>
        </w:rPr>
        <w:t>Aubusson and Fogwill (2006) construe analogies as models. The model only breaks down when students confuse models with reality (depending on canon specific parameters).</w:t>
      </w:r>
    </w:p>
    <w:p>
      <w:pPr>
        <w:pStyle w:val="Normal"/>
        <w:bidi w:val="0"/>
        <w:spacing w:lineRule="auto" w:line="276" w:before="0" w:after="160"/>
        <w:ind w:left="0" w:right="0" w:hanging="0"/>
        <w:jc w:val="both"/>
        <w:rPr/>
      </w:pPr>
      <w:r>
        <w:rPr>
          <w:b w:val="false"/>
          <w:bCs w:val="false"/>
          <w:sz w:val="24"/>
          <w:szCs w:val="24"/>
        </w:rPr>
        <w:tab/>
        <w:t xml:space="preserve">Allan G. Harrison and David F. Treagust(2006) </w:t>
      </w:r>
      <w:r>
        <w:rPr>
          <w:b w:val="false"/>
          <w:bCs w:val="false"/>
          <w:sz w:val="24"/>
          <w:szCs w:val="24"/>
        </w:rPr>
        <w:t>p</w:t>
      </w:r>
      <w:r>
        <w:rPr>
          <w:b w:val="false"/>
          <w:bCs w:val="false"/>
          <w:sz w:val="24"/>
          <w:szCs w:val="24"/>
        </w:rPr>
        <w:t xml:space="preserve">oint out diverse opinions of science teachers and textbook writers about the promise of analogies towards education considering diverse or heterogeneous interpretation strategies. Glynn in 1991 and  Treagust, Harrison and Venville in 1998  noted that most studies of analogies have focused on post festum structures and not the heuristic structures. Gick and Holyoak in 1983 and Dagher in 1995 stresses the importance of focusing on the analogies which are created by the students. Harrison and Treagust (2006) however, call student-generated analogies “two edged swords” because of unwarranted generation of alternative conceptions. Wong(1993) had attributed the rarity of student generated analogies to difficulty while Cosgrove (1995) had talked about mapping becoming easy and learning becoming meaningful as a result of these analogies. People use preexisting knowledge and accessible traces of experience entrenched in their memories to interpret analogical structures. </w:t>
      </w:r>
    </w:p>
    <w:p>
      <w:pPr>
        <w:pStyle w:val="Normal"/>
        <w:bidi w:val="0"/>
        <w:spacing w:lineRule="auto" w:line="276" w:before="0" w:after="160"/>
        <w:ind w:left="0" w:right="0" w:hanging="0"/>
        <w:jc w:val="both"/>
        <w:rPr/>
      </w:pPr>
      <w:r>
        <w:rPr>
          <w:b w:val="false"/>
          <w:bCs w:val="false"/>
          <w:sz w:val="24"/>
          <w:szCs w:val="24"/>
        </w:rPr>
        <w:t xml:space="preserve">Science education research has developed constructivist oriented teaching strategies to take account of the prior knowledge and conceptual structures held by the student shaped by their own aspirations and interests. Radical constructivists like Piaget talk the experience of a world constructed by an idiosyncratic mind such that new phenomenon is understood in a completely mind dependent manner. The experience of the world includes negotiation with other experiences and sense making which eliminates solipsism. A weaker form of personal constructivism tries to develop pedagogical models of cognitive conflict and conceptual change. Thus it is able to assimilate a non scientific view of the natural world to a view which is consistent with the canonical standards as shown in the work of  Tobin in 1990 and Roth and Roy Choudhury in 1994. </w:t>
      </w:r>
    </w:p>
    <w:p>
      <w:pPr>
        <w:pStyle w:val="Normal"/>
        <w:bidi w:val="0"/>
        <w:spacing w:lineRule="auto" w:line="276" w:before="0" w:after="160"/>
        <w:ind w:left="0" w:right="0" w:hanging="0"/>
        <w:jc w:val="both"/>
        <w:rPr/>
      </w:pPr>
      <w:r>
        <w:rPr>
          <w:b w:val="false"/>
          <w:bCs w:val="false"/>
          <w:sz w:val="24"/>
          <w:szCs w:val="24"/>
          <w:u w:val="none"/>
        </w:rPr>
        <w:tab/>
        <w:t>John William Willison and Peter Charles Taylor (2006) pointed out that modern philosophy privileges certain forms of reasoning like the Cartesian dualism. thus the constructs of reality are bound to oppositional descriptor categories and therefore informs the modus operandi of rationalization. Willison and Taylor broadened the scope of consideration to heterogenous epistemologies having different focuses and therefore diverse methodologies for engaging with the process of learning and different goals of learning. Harrison and Treagust (2006) believe that an oppositely constructed analogy helps the learning of concepts because there is a link built between familiar and new context .</w:t>
      </w:r>
    </w:p>
    <w:p>
      <w:pPr>
        <w:pStyle w:val="Normal"/>
        <w:bidi w:val="0"/>
        <w:spacing w:lineRule="auto" w:line="276" w:before="0" w:after="160"/>
        <w:ind w:left="0" w:right="0" w:hanging="0"/>
        <w:jc w:val="both"/>
        <w:rPr/>
      </w:pPr>
      <w:r>
        <w:rPr>
          <w:b w:val="false"/>
          <w:bCs w:val="false"/>
          <w:sz w:val="24"/>
          <w:szCs w:val="24"/>
          <w:u w:val="none"/>
        </w:rPr>
        <w:tab/>
      </w:r>
    </w:p>
    <w:p>
      <w:pPr>
        <w:pStyle w:val="TextBody"/>
        <w:bidi w:val="0"/>
        <w:spacing w:lineRule="auto" w:line="276" w:before="0" w:after="160"/>
        <w:ind w:left="0" w:right="0" w:hanging="0"/>
        <w:jc w:val="both"/>
        <w:rPr/>
      </w:pPr>
      <w:r>
        <w:rPr>
          <w:b w:val="false"/>
          <w:bCs w:val="false"/>
          <w:sz w:val="24"/>
          <w:szCs w:val="24"/>
          <w:u w:val="none"/>
        </w:rPr>
        <w:t>Wilbers and Duit (2006) draw on Vosniadou and Ortony to delineate three subprocesses involved in analogical reasoning: access, mapping, and generalisation. Of these, mapping and generalisation align closely with the ubiquitous cognitive mechanism described by Ronald Langacker in his theory of cognitive grammar. The process of mapping from a standard to a target is foundational to cognition and operates across multiple levels of linguistic organization. It also underpins the phenomenon of pattern recognition (Langacker, 1987, 1990, 2009, 2012).</w:t>
      </w:r>
    </w:p>
    <w:p>
      <w:pPr>
        <w:pStyle w:val="TextBody"/>
        <w:bidi w:val="0"/>
        <w:spacing w:lineRule="auto" w:line="276"/>
        <w:jc w:val="both"/>
        <w:rPr/>
      </w:pPr>
      <w:r>
        <w:rPr>
          <w:b w:val="false"/>
          <w:bCs w:val="false"/>
          <w:sz w:val="24"/>
          <w:szCs w:val="24"/>
          <w:u w:val="none"/>
        </w:rPr>
        <w:t>Access, by contrast, is influenced by factors such as conventionality, the degree of entrenchment, and the availability of representations in working memory. Wilbers and Duit (2006, p. 38) compare the perspectives of Gentner and Holyoak, noting that Gentner treats analogy as a purely structural mapping process, whereas Holyoak emphasizes contextual influences, leading to his formulation of the pragmatic structure mapping approach. Despite their differences, both models rely on propositional structures that map from a base domain to a target domain.</w:t>
      </w:r>
    </w:p>
    <w:p>
      <w:pPr>
        <w:pStyle w:val="TextBody"/>
        <w:bidi w:val="0"/>
        <w:spacing w:lineRule="auto" w:line="276"/>
        <w:jc w:val="both"/>
        <w:rPr/>
      </w:pPr>
      <w:r>
        <w:rPr>
          <w:b w:val="false"/>
          <w:bCs w:val="false"/>
          <w:sz w:val="24"/>
          <w:szCs w:val="24"/>
          <w:u w:val="none"/>
        </w:rPr>
        <w:t>Gentner’s structure-mapping theory introduces the principle of systematicity (1989), which posits that analogical reasoning favors interconnected systems of relations over isolated elements, especially when higher-order structures are involved. Typically, the base domain is more complex than the target. This feature-mapping process is governed by logical equivalence, and any generalisation drawn from it is grounded in formal logic.</w:t>
      </w:r>
    </w:p>
    <w:p>
      <w:pPr>
        <w:pStyle w:val="Normal"/>
        <w:spacing w:lineRule="auto" w:line="276" w:before="0" w:after="160"/>
        <w:ind w:left="0" w:right="0" w:hanging="0"/>
        <w:jc w:val="both"/>
        <w:rPr>
          <w:b w:val="false"/>
          <w:b w:val="false"/>
          <w:bCs w:val="false"/>
          <w:sz w:val="24"/>
          <w:szCs w:val="24"/>
          <w:u w:val="none"/>
        </w:rPr>
      </w:pPr>
      <w:r>
        <w:rPr>
          <w:b w:val="false"/>
          <w:bCs w:val="false"/>
          <w:sz w:val="24"/>
          <w:szCs w:val="24"/>
          <w:u w:val="none"/>
        </w:rPr>
      </w:r>
    </w:p>
    <w:p>
      <w:pPr>
        <w:pStyle w:val="TextBody"/>
        <w:spacing w:lineRule="auto" w:line="276"/>
        <w:jc w:val="both"/>
        <w:rPr/>
      </w:pPr>
      <w:r>
        <w:rPr/>
        <w:t xml:space="preserve">Wilbers and Duit (p. 39) distinguish between </w:t>
      </w:r>
      <w:r>
        <w:rPr>
          <w:rStyle w:val="Emphasis"/>
        </w:rPr>
        <w:t>post festum</w:t>
      </w:r>
      <w:r>
        <w:rPr/>
        <w:t xml:space="preserve"> and </w:t>
      </w:r>
      <w:r>
        <w:rPr>
          <w:rStyle w:val="Emphasis"/>
        </w:rPr>
        <w:t>heuristic analogy</w:t>
      </w:r>
      <w:r>
        <w:rPr/>
        <w:t xml:space="preserve"> based on two key factors: the awareness of the concept and the awareness of the goal during the structuring of the analogy. In </w:t>
      </w:r>
      <w:r>
        <w:rPr>
          <w:rStyle w:val="Emphasis"/>
        </w:rPr>
        <w:t>post festum</w:t>
      </w:r>
      <w:r>
        <w:rPr/>
        <w:t xml:space="preserve"> analogy, this awareness is present; in </w:t>
      </w:r>
      <w:r>
        <w:rPr>
          <w:rStyle w:val="Emphasis"/>
        </w:rPr>
        <w:t>heuristic analogy</w:t>
      </w:r>
      <w:r>
        <w:rPr/>
        <w:t>, it is absent. The authors describe these as entirely distinct psychological processes. In heuristic analogy, analogical relations are actively constructed rather than passively detected from pre-existing correspondences.</w:t>
      </w:r>
    </w:p>
    <w:p>
      <w:pPr>
        <w:pStyle w:val="TextBody"/>
        <w:spacing w:lineRule="auto" w:line="276"/>
        <w:jc w:val="both"/>
        <w:rPr/>
      </w:pPr>
      <w:r>
        <w:rPr/>
        <w:t>Bunge (1973) observes that heuristic analogy does not test a hypothesis via induction—it generates the hypothesis itself. Earlier, Holyoak and Koh (1987), along with Seel and Dinter (1991), had treated analogy as a form of inductive reasoning. Cognitive grammar, as articulated by Langacker (1987, 2009), defines a concept as a network of correspondence relations among entities, forming interconnections within a conceptual base without exception. Access to these concepts depends on activation from within a structured inventory, which underlies the categorization of both established units and novel, non-unitary forms.</w:t>
      </w:r>
    </w:p>
    <w:p>
      <w:pPr>
        <w:pStyle w:val="TextBody"/>
        <w:spacing w:lineRule="auto" w:line="276"/>
        <w:jc w:val="both"/>
        <w:rPr/>
      </w:pPr>
      <w:r>
        <w:rPr/>
        <w:t>Keller (1995) identifies two types of inference in communicative processes, but experimental evidence shows these cannot be treated as separate mechanisms. To date, theoretical models of analogy have focused exclusively on rule-based inferences operating over propositional structures.</w:t>
      </w:r>
    </w:p>
    <w:p>
      <w:pPr>
        <w:pStyle w:val="TextBody"/>
        <w:spacing w:lineRule="auto" w:line="276"/>
        <w:jc w:val="both"/>
        <w:rPr/>
      </w:pPr>
      <w:r>
        <w:rPr/>
        <w:t>Harrison and Treagust (2006) demonstrate that analogy may take the form of proportional statements or reflect process similarity transferred across domains. Susan Carey’s (1985) principle of inductive projection—where children extend properties and generalized traits from anthropocentric origins—has influenced biology and cognitive psychology. Heine (1997), however, points out that such studies are culturally limited. Many communities possess cultural ICMs (Idealized Cognitive Models) grounded in zoomorphic foundational concepts. Heine also notes that concepts we often assume to be universal—such as cardinal directions—are not universally shared.</w:t>
      </w:r>
    </w:p>
    <w:p>
      <w:pPr>
        <w:pStyle w:val="TextBody"/>
        <w:spacing w:lineRule="auto" w:line="276"/>
        <w:jc w:val="both"/>
        <w:rPr/>
      </w:pPr>
      <w:r>
        <w:rPr/>
        <w:t>Curtis and Reigeluth (1984) classified analogies into three types: simple structural, enriched functional, and extended analogies. The enriched functional type explicitly states the grounds or conditions for similarity between entities, unlike the simple structural type. Zook (1989) highlights the difficulties in recognizing and mapping analogies, and how these can be mitigated when teachers explicitly identify the grounds of comparison. Harrison and Treagust (1993, 2000) corroborate this, showing that specifying the conditions for likeness reduces alternative conceptions.</w:t>
      </w:r>
    </w:p>
    <w:p>
      <w:pPr>
        <w:pStyle w:val="TextBody"/>
        <w:spacing w:lineRule="auto" w:line="276"/>
        <w:jc w:val="both"/>
        <w:rPr/>
      </w:pPr>
      <w:r>
        <w:rPr/>
        <w:t>Duit and Glynn (1991) emphasize that all analogies contain unshared attributes, which inevitably lead to breakdowns, since analogical knowledge is not empirical. Mapping involves both shared and unshared features, resulting in both positive and negative analogies.</w:t>
      </w:r>
    </w:p>
    <w:p>
      <w:pPr>
        <w:pStyle w:val="TextBody"/>
        <w:spacing w:lineRule="auto" w:line="276"/>
        <w:jc w:val="both"/>
        <w:rPr/>
      </w:pPr>
      <w:r>
        <w:rPr/>
        <w:t>Harrison and Treagust (2006) identify three key considerations:</w:t>
      </w:r>
    </w:p>
    <w:p>
      <w:pPr>
        <w:pStyle w:val="TextBody"/>
        <w:numPr>
          <w:ilvl w:val="0"/>
          <w:numId w:val="3"/>
        </w:numPr>
        <w:tabs>
          <w:tab w:val="clear" w:pos="709"/>
          <w:tab w:val="left" w:pos="1414" w:leader="none"/>
        </w:tabs>
        <w:spacing w:lineRule="auto" w:line="276" w:before="0" w:after="0"/>
        <w:ind w:left="707" w:hanging="283"/>
        <w:jc w:val="both"/>
        <w:rPr/>
      </w:pPr>
      <w:r>
        <w:rPr/>
        <w:t xml:space="preserve">(a) The suitability of the analogue for a given audience and the degree to which teacher- or student-directed mapping is needed to grasp the target concept. </w:t>
      </w:r>
    </w:p>
    <w:p>
      <w:pPr>
        <w:pStyle w:val="TextBody"/>
        <w:numPr>
          <w:ilvl w:val="0"/>
          <w:numId w:val="3"/>
        </w:numPr>
        <w:tabs>
          <w:tab w:val="clear" w:pos="709"/>
          <w:tab w:val="left" w:pos="1414" w:leader="none"/>
        </w:tabs>
        <w:spacing w:lineRule="auto" w:line="276" w:before="0" w:after="0"/>
        <w:ind w:left="707" w:hanging="283"/>
        <w:jc w:val="both"/>
        <w:rPr/>
      </w:pPr>
      <w:r>
        <w:rPr/>
        <w:t xml:space="preserve">(b) No single analogy can fully explain every aspect of a target concept; hence, multiple analogies are often more effective. </w:t>
      </w:r>
    </w:p>
    <w:p>
      <w:pPr>
        <w:pStyle w:val="TextBody"/>
        <w:numPr>
          <w:ilvl w:val="0"/>
          <w:numId w:val="3"/>
        </w:numPr>
        <w:tabs>
          <w:tab w:val="clear" w:pos="709"/>
          <w:tab w:val="left" w:pos="1414" w:leader="none"/>
        </w:tabs>
        <w:spacing w:lineRule="auto" w:line="276"/>
        <w:ind w:left="707" w:hanging="283"/>
        <w:jc w:val="both"/>
        <w:rPr/>
      </w:pPr>
      <w:r>
        <w:rPr/>
        <w:t xml:space="preserve">(c) Not all learners benefit from multiple analogies, as some epistemological orientations favor singular explanations for singular phenomena. </w:t>
      </w:r>
    </w:p>
    <w:p>
      <w:pPr>
        <w:pStyle w:val="TextBody"/>
        <w:tabs>
          <w:tab w:val="clear" w:pos="709"/>
          <w:tab w:val="left" w:pos="1414" w:leader="none"/>
        </w:tabs>
        <w:spacing w:lineRule="auto" w:line="276"/>
        <w:ind w:left="707" w:hanging="283"/>
        <w:jc w:val="both"/>
        <w:rPr/>
      </w:pPr>
      <w:r>
        <w:rPr/>
      </w:r>
    </w:p>
    <w:p>
      <w:pPr>
        <w:pStyle w:val="TextBody"/>
        <w:tabs>
          <w:tab w:val="clear" w:pos="709"/>
          <w:tab w:val="left" w:pos="707" w:leader="none"/>
        </w:tabs>
        <w:spacing w:lineRule="auto" w:line="276"/>
        <w:ind w:hanging="0"/>
        <w:jc w:val="both"/>
        <w:rPr>
          <w:b/>
          <w:b/>
          <w:bCs/>
        </w:rPr>
      </w:pPr>
      <w:r>
        <w:rPr>
          <w:b/>
          <w:bCs/>
        </w:rPr>
        <w:t>1.2 Attempts to standardize and formalize analogies</w:t>
      </w:r>
    </w:p>
    <w:p>
      <w:pPr>
        <w:pStyle w:val="Normal"/>
        <w:spacing w:lineRule="auto" w:line="276" w:before="0" w:after="160"/>
        <w:ind w:left="0" w:right="0" w:hanging="0"/>
        <w:jc w:val="both"/>
        <w:rPr/>
      </w:pPr>
      <w:r>
        <w:rPr>
          <w:b w:val="false"/>
          <w:bCs w:val="false"/>
          <w:sz w:val="24"/>
          <w:szCs w:val="24"/>
          <w:u w:val="none"/>
        </w:rPr>
        <w:t>Several attempts have been made to formalize analogies along multiple dimensions emphasizing systematicity of information (Clement, Gentner, 1991). Gentner 1980, 1983, 1989 emphasize the embeddedness of structures in a shared larger structure or a structure linked by causal relations. Ott (2025) proposes an architecture based on pullbacks and push out founded upon the same principle which is also discussed by Gentner and Forbus under tiered identicality.  Computational models have been built of how people construct analogies, retrieve analogs from memory and make inferences from results.(Gentner &amp; Forbus, 2011)  Information is typically coded in language and processes of analogy utilize language for constructing analogies, retrieving analogs and making inferences. Thus the structures of natural language phenomenon play a role in all of these processes. Therefore Gentner and Forbes note that encoding plays a key role in analogical inferences. However computational models overarchingly emphasize the relation of nodes over attributes of the attributes of nodes. Although local, global matching processes introduced in the SME model of analogy which is also used by ACME and the CAB model favor the middle out, over top down and bottom up models : which consider low level information and high level information; they do not consider a very fundamental character of natural language because of the emphasis on the unit of form as a representative of a unit of network. A single form may map to multiple networks where multiple networks may be embedded in a larger structure. For example- The predicate love is used in multiple senses not distinguishable in terms of form at either the level of predicator or any higher order predicate including constructional schemas within the system of English. These senses are often distinguished in languages like Ancient Greek and Bengali. However in the process of making analogies, retrieval and inference making  is determined by the particular sense in which the predicate is used. Multiple domains may be embedded in a larger domain which result in misinterpretation of analogies .</w:t>
      </w:r>
    </w:p>
    <w:p>
      <w:pPr>
        <w:pStyle w:val="Normal"/>
        <w:tabs>
          <w:tab w:val="clear" w:pos="709"/>
          <w:tab w:val="left" w:pos="707" w:leader="none"/>
        </w:tabs>
        <w:spacing w:lineRule="auto" w:line="276" w:before="0" w:after="160"/>
        <w:ind w:left="0" w:right="0" w:hanging="0"/>
        <w:jc w:val="both"/>
        <w:rPr>
          <w:b/>
          <w:b/>
          <w:bCs/>
        </w:rPr>
      </w:pPr>
      <w:r>
        <w:rPr>
          <w:b w:val="false"/>
          <w:bCs w:val="false"/>
          <w:sz w:val="24"/>
          <w:szCs w:val="24"/>
          <w:u w:val="none"/>
        </w:rPr>
        <w:t>In the Cognitive Grammar framework, a structured inventory contains predicates at multiple levels and constructional schemas at multiple levels. These may be construed as thing like entities. Mapping between the mental spaces of the post festum analogy and heuristic analogy construction (Fauconnier, 1994) does not constrain mapping between things and relations with similar phonological form if both embedded within any larger structure. In addition to this, the domain of a node label determined by canon or any other social, cultural, psychological, political etc artefactual boundary of a structured inventory serves to separate two nodes with identical phonological form accessed in a non substitutable way to create and interpret analogies. This makes analogies difficult to standardize.</w:t>
      </w:r>
    </w:p>
    <w:p>
      <w:pPr>
        <w:pStyle w:val="Normal"/>
        <w:spacing w:lineRule="auto" w:line="276" w:before="0" w:after="160"/>
        <w:ind w:left="0" w:right="0" w:hanging="0"/>
        <w:jc w:val="both"/>
        <w:rPr/>
      </w:pPr>
      <w:r>
        <w:rPr>
          <w:b/>
          <w:bCs/>
          <w:sz w:val="24"/>
          <w:szCs w:val="24"/>
          <w:u w:val="none"/>
        </w:rPr>
        <w:t>1.3 Collocations</w:t>
      </w:r>
    </w:p>
    <w:p>
      <w:pPr>
        <w:pStyle w:val="Normal"/>
        <w:spacing w:lineRule="auto" w:line="276" w:before="0" w:after="160"/>
        <w:ind w:left="0" w:right="0" w:hanging="0"/>
        <w:jc w:val="both"/>
        <w:rPr/>
      </w:pPr>
      <w:r>
        <w:rPr>
          <w:b w:val="false"/>
          <w:bCs w:val="false"/>
          <w:sz w:val="24"/>
          <w:szCs w:val="24"/>
          <w:u w:val="none"/>
        </w:rPr>
        <w:t xml:space="preserve">Collocations dominate a significant portion of any spoken natural language. J.R Firth identifies a collocation as a habitual and recurrent juxtaposition of words that are semantically related </w:t>
      </w:r>
      <w:r>
        <w:rPr>
          <w:sz w:val="24"/>
          <w:szCs w:val="24"/>
          <w:u w:val="none"/>
        </w:rPr>
        <w:t>(Bartsch &amp; Evert, 2014). Bartsch and Evert point out context concordance window as proposed by Sinclair in 1966, that uses a window based approach within the constraint context of a typically 3:3 or 5:5 keyword to model the co occurrence of lexical items. The studies of collocations are increasingly dependent on availability of corpora Since the identification depends on co occurrence frequency in a corpus. Bartsch and Evert however point out that identification of collocation does not on the size of the corpus but rather the Obtaining of clean and balanced samples in a clear context.</w:t>
      </w:r>
    </w:p>
    <w:p>
      <w:pPr>
        <w:pStyle w:val="Normal"/>
        <w:tabs>
          <w:tab w:val="clear" w:pos="709"/>
          <w:tab w:val="left" w:pos="707" w:leader="none"/>
        </w:tabs>
        <w:spacing w:lineRule="auto" w:line="276" w:before="0" w:after="160"/>
        <w:ind w:left="0" w:right="0" w:hanging="0"/>
        <w:jc w:val="both"/>
        <w:rPr>
          <w:b/>
          <w:b/>
          <w:bCs/>
        </w:rPr>
      </w:pPr>
      <w:r>
        <w:rPr>
          <w:b w:val="false"/>
          <w:bCs w:val="false"/>
          <w:sz w:val="24"/>
          <w:szCs w:val="24"/>
          <w:u w:val="none"/>
        </w:rPr>
        <w:t>Based on the main principles proposed by Sinclair in 1991 , the open choice and the idiom, Research on collocation has both branched into phraseological research and statistical measuring of frequency and the hybrid form. The 2013 study by Wolter and Gyllstad found that processing collocations were more demanding than processing of free combinations forboth L1 and L2 learners of a language. Granger in 2019 also shows that linguistic distinctions between units often involve criteria that is highly subjective. Corpus studies usually involving artefactual units of language, tap into statistically significant patterns of collocability to separate it from a random co-occurrence as shown by schmitt in 2010.  In the hybrid approach a study conducted by  Boone, De Wilde and Eyckmans in 2022 found that the impact of word related factors like how frequent a collocation is and how strong the strength of the association is was not a significant factor in contrast to the findings from before. In 2004, Hoey found that all lexical items are primed for collocational use. Collocations are psychologically real in that entrenchment in memory is dependent on frequency, fixedness and phraseological status as important factors.</w:t>
      </w:r>
    </w:p>
    <w:p>
      <w:pPr>
        <w:pStyle w:val="Normal"/>
        <w:tabs>
          <w:tab w:val="clear" w:pos="709"/>
          <w:tab w:val="left" w:pos="707" w:leader="none"/>
        </w:tabs>
        <w:spacing w:lineRule="auto" w:line="276" w:before="0" w:after="160"/>
        <w:ind w:left="0" w:right="0" w:hanging="0"/>
        <w:jc w:val="both"/>
        <w:rPr>
          <w:b w:val="false"/>
          <w:b w:val="false"/>
          <w:bCs w:val="false"/>
          <w:sz w:val="24"/>
          <w:szCs w:val="24"/>
          <w:u w:val="none"/>
        </w:rPr>
      </w:pPr>
      <w:r>
        <w:rPr>
          <w:b/>
          <w:bCs/>
        </w:rPr>
      </w:r>
    </w:p>
    <w:p>
      <w:pPr>
        <w:pStyle w:val="Normal"/>
        <w:spacing w:lineRule="auto" w:line="276" w:before="0" w:after="160"/>
        <w:ind w:left="0" w:right="0" w:hanging="0"/>
        <w:jc w:val="both"/>
        <w:rPr/>
      </w:pPr>
      <w:r>
        <w:rPr>
          <w:b/>
          <w:bCs/>
          <w:sz w:val="24"/>
          <w:szCs w:val="24"/>
          <w:u w:val="none"/>
        </w:rPr>
        <w:t xml:space="preserve">1.4 Typological distance between </w:t>
      </w:r>
      <w:r>
        <w:rPr>
          <w:b/>
          <w:bCs/>
          <w:sz w:val="24"/>
          <w:szCs w:val="24"/>
          <w:u w:val="none"/>
        </w:rPr>
        <w:t>languages</w:t>
      </w:r>
    </w:p>
    <w:p>
      <w:pPr>
        <w:pStyle w:val="Normal"/>
        <w:tabs>
          <w:tab w:val="clear" w:pos="709"/>
          <w:tab w:val="left" w:pos="707" w:leader="none"/>
        </w:tabs>
        <w:spacing w:lineRule="auto" w:line="276" w:before="0" w:after="160"/>
        <w:ind w:left="0" w:right="0" w:hanging="0"/>
        <w:jc w:val="both"/>
        <w:rPr>
          <w:b/>
          <w:b/>
          <w:bCs/>
        </w:rPr>
      </w:pPr>
      <w:r>
        <w:rPr>
          <w:b w:val="false"/>
          <w:bCs w:val="false"/>
          <w:sz w:val="24"/>
          <w:szCs w:val="24"/>
          <w:u w:val="none"/>
        </w:rPr>
        <w:t xml:space="preserve">While languages in real time and space exist within a flux of continua, the distance between two points in the continuum shapes significant structural differences. The language used by the instructor in this case study is Hindi and the mother tongue of the instructed is Malayalam. Hindi varieties and Malayalam varieties are generally considered to be typologically distant and located far away within a continua. They are generally regarded as belonging to two different language families entirely and two separate parts of India. Hindi belongs to the Indo- Aryan language family while Malayalam belongs to the Dravidian language family. While both the languages have SOV word order, Malayalam has largely more derivations being agglutinative while Hindi is relatively more analytic in character. The defactive in Malayalam is a single word in contrast to Hindi and passive constructions are rare. In Hindi the be or become verb- </w:t>
      </w:r>
      <w:r>
        <w:rPr>
          <w:rFonts w:cs="Times New Roman"/>
          <w:b w:val="false"/>
          <w:b w:val="false"/>
          <w:bCs/>
          <w:iCs w:val="false"/>
          <w:caps w:val="false"/>
          <w:smallCaps w:val="false"/>
          <w:color w:val="000000"/>
          <w:spacing w:val="0"/>
          <w:sz w:val="24"/>
          <w:sz w:val="24"/>
          <w:szCs w:val="24"/>
          <w:u w:val="none"/>
        </w:rPr>
        <w:t xml:space="preserve">है </w:t>
      </w:r>
      <w:r>
        <w:rPr>
          <w:rFonts w:cs="Times New Roman"/>
          <w:b w:val="false"/>
          <w:bCs/>
          <w:iCs w:val="false"/>
          <w:caps w:val="false"/>
          <w:smallCaps w:val="false"/>
          <w:color w:val="000000"/>
          <w:spacing w:val="0"/>
          <w:sz w:val="24"/>
          <w:szCs w:val="24"/>
          <w:u w:val="none"/>
        </w:rPr>
        <w:t>/hai/</w:t>
      </w:r>
      <w:r>
        <w:rPr>
          <w:b w:val="false"/>
          <w:bCs w:val="false"/>
          <w:sz w:val="24"/>
          <w:szCs w:val="24"/>
          <w:u w:val="none"/>
        </w:rPr>
        <w:t xml:space="preserve">; is irregular in imperative and past participle form. In Malayalam there is no pronominal termination. </w:t>
      </w:r>
      <w:r>
        <w:rPr>
          <w:rFonts w:cs="Roboto;Helvetica;sans-serif"/>
          <w:b/>
          <w:b/>
          <w:bCs/>
          <w:iCs w:val="false"/>
          <w:caps w:val="false"/>
          <w:smallCaps w:val="false"/>
          <w:color w:val="000000"/>
          <w:spacing w:val="0"/>
          <w:sz w:val="24"/>
          <w:sz w:val="24"/>
          <w:szCs w:val="24"/>
          <w:u w:val="none"/>
        </w:rPr>
        <w:t xml:space="preserve">चूक </w:t>
      </w:r>
      <w:r>
        <w:rPr>
          <w:rFonts w:cs="Roboto;Helvetica;sans-serif"/>
          <w:b/>
          <w:bCs/>
          <w:iCs w:val="false"/>
          <w:caps w:val="false"/>
          <w:smallCaps w:val="false"/>
          <w:color w:val="000000"/>
          <w:spacing w:val="0"/>
          <w:sz w:val="24"/>
          <w:szCs w:val="24"/>
          <w:u w:val="none"/>
        </w:rPr>
        <w:t>/</w:t>
      </w:r>
      <w:r>
        <w:rPr>
          <w:rFonts w:cs="Roboto;Helvetica;sans-serif"/>
          <w:b w:val="false"/>
          <w:bCs w:val="false"/>
          <w:i/>
          <w:iCs/>
          <w:caps w:val="false"/>
          <w:smallCaps w:val="false"/>
          <w:color w:val="000000"/>
          <w:spacing w:val="0"/>
          <w:sz w:val="24"/>
          <w:szCs w:val="24"/>
          <w:u w:val="none"/>
        </w:rPr>
        <w:t>cuk</w:t>
      </w:r>
      <w:r>
        <w:rPr>
          <w:rFonts w:cs="Roboto;Helvetica;sans-serif"/>
          <w:b w:val="false"/>
          <w:bCs w:val="false"/>
          <w:i w:val="false"/>
          <w:iCs w:val="false"/>
          <w:caps w:val="false"/>
          <w:smallCaps w:val="false"/>
          <w:color w:val="000000"/>
          <w:spacing w:val="0"/>
          <w:sz w:val="24"/>
          <w:szCs w:val="24"/>
          <w:u w:val="none"/>
        </w:rPr>
        <w:t xml:space="preserve"> /</w:t>
      </w:r>
      <w:r>
        <w:rPr>
          <w:b/>
          <w:bCs/>
          <w:color w:val="000000"/>
          <w:sz w:val="24"/>
          <w:szCs w:val="24"/>
          <w:u w:val="none"/>
        </w:rPr>
        <w:t xml:space="preserve"> </w:t>
      </w:r>
      <w:r>
        <w:rPr>
          <w:b w:val="false"/>
          <w:bCs w:val="false"/>
          <w:color w:val="000000"/>
          <w:sz w:val="24"/>
          <w:szCs w:val="24"/>
          <w:u w:val="none"/>
        </w:rPr>
        <w:t xml:space="preserve">is added in Hindi to indicate completion of action. (Geethakumary, 1996) </w:t>
      </w:r>
    </w:p>
    <w:p>
      <w:pPr>
        <w:pStyle w:val="Normal"/>
        <w:spacing w:lineRule="auto" w:line="276" w:before="0" w:after="160"/>
        <w:ind w:left="0" w:right="0" w:hanging="0"/>
        <w:jc w:val="both"/>
        <w:rPr/>
      </w:pPr>
      <w:r>
        <w:rPr>
          <w:b/>
          <w:bCs/>
          <w:color w:val="000000"/>
          <w:sz w:val="24"/>
          <w:szCs w:val="24"/>
          <w:u w:val="none"/>
        </w:rPr>
        <w:t>1.5 Language policies in India</w:t>
      </w:r>
    </w:p>
    <w:p>
      <w:pPr>
        <w:pStyle w:val="Normal"/>
        <w:tabs>
          <w:tab w:val="clear" w:pos="709"/>
          <w:tab w:val="left" w:pos="707" w:leader="none"/>
        </w:tabs>
        <w:spacing w:lineRule="auto" w:line="276" w:before="0" w:after="160"/>
        <w:ind w:left="0" w:right="0" w:hanging="0"/>
        <w:jc w:val="both"/>
        <w:rPr>
          <w:b/>
          <w:b/>
          <w:bCs/>
        </w:rPr>
      </w:pPr>
      <w:r>
        <w:rPr>
          <w:b w:val="false"/>
          <w:bCs w:val="false"/>
          <w:color w:val="000000"/>
          <w:sz w:val="24"/>
          <w:szCs w:val="24"/>
          <w:u w:val="none"/>
        </w:rPr>
        <w:t>Language forms a symbol of ethnicity, race, status, social class, political belief, culture and much more (Keefer &amp; Haj-Broussard, 2020). National Education Policy 2020 emphasizeslanguage and the learning of more languages including 2 Indian languages at a primary level and an international language at a later level which is popularly known as the three language formula. According to</w:t>
      </w:r>
      <w:r>
        <w:rPr>
          <w:b/>
          <w:bCs/>
          <w:color w:val="000000"/>
          <w:sz w:val="24"/>
          <w:szCs w:val="24"/>
          <w:u w:val="none"/>
        </w:rPr>
        <w:t xml:space="preserve"> </w:t>
      </w:r>
      <w:r>
        <w:rPr>
          <w:b w:val="false"/>
          <w:bCs w:val="false"/>
          <w:color w:val="000000"/>
          <w:sz w:val="24"/>
          <w:szCs w:val="24"/>
          <w:u w:val="none"/>
        </w:rPr>
        <w:t>UNESCO 2016,</w:t>
      </w:r>
      <w:r>
        <w:rPr>
          <w:b/>
          <w:bCs/>
          <w:color w:val="000000"/>
          <w:sz w:val="24"/>
          <w:szCs w:val="24"/>
          <w:u w:val="none"/>
        </w:rPr>
        <w:t xml:space="preserve"> </w:t>
      </w:r>
      <w:r>
        <w:rPr>
          <w:b w:val="false"/>
          <w:bCs w:val="false"/>
          <w:color w:val="000000"/>
          <w:sz w:val="24"/>
          <w:szCs w:val="24"/>
          <w:u w:val="none"/>
        </w:rPr>
        <w:t>Researchers have demonstrated that teaching in a single language enables optimal cognitive development helps the performance of the student and helps the student culturally express themselves while Agnihotri in 2014 point out about the discrimination of minority languages and the privileging of English and some languages in India. Agnihotri also points out that the pressure to comply with English through economy and social status. This is also discussed in  Keefer &amp; Haj-Broussard, 2020 through the context of United States where linguistic pluralism contributes to ideological tensions along with assimilationist beliefs about language(Mishra &amp; Mishra, 2024).Tripathi (2023) notes the importance of diversity to Indian society. According to the 2011 census the total number of people speaking a second language in India is more than 31.49 crores where the total population of India is 121 crores. People speaking a third language is more than 8.60 crores. Since learners come from very different linguistic backgrounds, the medium of instructions forms a foremost challenge in Indian education policy. Children from various backgrounds bring funds of prior experience, learning and knowledge to the classroom. Tripathi notes that Kumar in 1996 points out that children feel alienated from the text that they are studying or misrepresent what is written and therefore develop incongruency in their understanding.  They also note that Krishna Kumar in 1993 had argued that one of the reasons for dropout rates in India is the pedagogy in the school which  poses a challenge for the students.</w:t>
      </w:r>
    </w:p>
    <w:p>
      <w:pPr>
        <w:pStyle w:val="Normal"/>
        <w:tabs>
          <w:tab w:val="clear" w:pos="709"/>
          <w:tab w:val="left" w:pos="707" w:leader="none"/>
        </w:tabs>
        <w:spacing w:lineRule="auto" w:line="276" w:before="0" w:after="160"/>
        <w:ind w:left="0" w:right="0" w:hanging="0"/>
        <w:jc w:val="both"/>
        <w:rPr>
          <w:b w:val="false"/>
          <w:b w:val="false"/>
          <w:bCs w:val="false"/>
          <w:color w:val="000000"/>
          <w:sz w:val="24"/>
          <w:szCs w:val="24"/>
          <w:u w:val="none"/>
        </w:rPr>
      </w:pPr>
      <w:r>
        <w:rPr>
          <w:b/>
          <w:bCs/>
        </w:rPr>
      </w:r>
    </w:p>
    <w:p>
      <w:pPr>
        <w:pStyle w:val="Normal"/>
        <w:spacing w:lineRule="auto" w:line="276" w:before="0" w:after="160"/>
        <w:ind w:left="0" w:right="0" w:hanging="0"/>
        <w:jc w:val="both"/>
        <w:rPr/>
      </w:pPr>
      <w:r>
        <w:rPr>
          <w:b/>
          <w:bCs/>
          <w:sz w:val="24"/>
          <w:szCs w:val="24"/>
          <w:u w:val="none"/>
        </w:rPr>
        <w:t>2. Concept Mapping</w:t>
      </w:r>
    </w:p>
    <w:p>
      <w:pPr>
        <w:pStyle w:val="Normal"/>
        <w:spacing w:lineRule="auto" w:line="276" w:before="0" w:after="160"/>
        <w:ind w:left="0" w:right="0" w:hanging="0"/>
        <w:jc w:val="both"/>
        <w:rPr/>
      </w:pPr>
      <w:r>
        <w:rPr>
          <w:b w:val="false"/>
          <w:bCs w:val="false"/>
          <w:sz w:val="24"/>
          <w:szCs w:val="24"/>
          <w:u w:val="none"/>
        </w:rPr>
        <w:t>Roth and Roy Choudhury in 1993 Show that concept mapping aids in hierarchical organization of information and also the local configuration of concepts. Many scholars like</w:t>
      </w:r>
      <w:r>
        <w:rPr>
          <w:b w:val="false"/>
          <w:bCs w:val="false"/>
          <w:color w:val="000000"/>
          <w:sz w:val="24"/>
          <w:szCs w:val="24"/>
          <w:u w:val="none"/>
        </w:rPr>
        <w:t>Heinz, Frei, Novak in 1990; Lehman, Carter and Kahle, Novak Gowin Johansen 1983, Okebukola 1990, Okebukola and Jegede 1988, Pankratius 1990, Stewart, Van Kirk and Rowell; have shown that concept maps help students learn something meaningfully. It is also important to note the tests of the usefulness of concept maps have not always given conclusive results. However,  Heinz Frei and Novak 1990, Novak et al 1983, Stensvold  and Wilson 1999 do show that the awareness of the cognitive process when the student is learning provides the student a power to control the process.DiSessa in 2017,  Defines the misconception or alternative conception or naive conception or intuitive knowledge or spontaneous reasoning of a student as a structure of A p-prim or a phenomenological primitive which is weakly coherent. New knowledge forms by gradually adding to the previous knowledge as a kind of conceptual change. Pacaci and Ustun compare the efficacy of conceptual change strategies in education in this context, noting the positive effect of the strategies. (</w:t>
      </w:r>
      <w:r>
        <w:rPr>
          <w:rStyle w:val="StrongEmphasis"/>
          <w:b w:val="false"/>
          <w:bCs w:val="false"/>
          <w:color w:val="000000"/>
          <w:sz w:val="24"/>
          <w:szCs w:val="24"/>
          <w:u w:val="none"/>
        </w:rPr>
        <w:t xml:space="preserve">Pacaci &amp; Ustun. 2023)Vosniadouin 2013 proposes a framework theory which does not exclude the possibility of a phenomenological primitive being present in the knowledge system as a loose organization of conceptual structures. Misconceptions are thus structurally defined as the conceptions which produce systematic error patterns. (Vosniadou, 2019) </w:t>
      </w:r>
    </w:p>
    <w:p>
      <w:pPr>
        <w:pStyle w:val="Normal"/>
        <w:tabs>
          <w:tab w:val="clear" w:pos="709"/>
          <w:tab w:val="left" w:pos="707" w:leader="none"/>
        </w:tabs>
        <w:spacing w:lineRule="auto" w:line="276" w:before="0" w:after="160"/>
        <w:ind w:left="0" w:right="0" w:hanging="0"/>
        <w:jc w:val="both"/>
        <w:rPr>
          <w:b/>
          <w:b/>
          <w:bCs/>
        </w:rPr>
      </w:pPr>
      <w:r>
        <w:rPr>
          <w:rStyle w:val="StrongEmphasis"/>
          <w:b w:val="false"/>
          <w:bCs w:val="false"/>
          <w:color w:val="000000"/>
          <w:sz w:val="24"/>
          <w:szCs w:val="24"/>
          <w:u w:val="none"/>
        </w:rPr>
        <w:t xml:space="preserve">The development of intuitive knowledge and the subordination of a phenomenological primitive principles to formal principles can be found in the work of Chi and Slotta in 1993. </w:t>
      </w:r>
    </w:p>
    <w:p>
      <w:pPr>
        <w:pStyle w:val="Normal"/>
        <w:tabs>
          <w:tab w:val="clear" w:pos="709"/>
          <w:tab w:val="left" w:pos="707" w:leader="none"/>
        </w:tabs>
        <w:spacing w:lineRule="auto" w:line="276" w:before="0" w:after="160"/>
        <w:ind w:left="0" w:right="0" w:hanging="0"/>
        <w:jc w:val="both"/>
        <w:rPr>
          <w:b/>
          <w:b/>
          <w:bCs/>
        </w:rPr>
      </w:pPr>
      <w:r>
        <w:rPr>
          <w:rStyle w:val="StrongEmphasis"/>
          <w:b w:val="false"/>
          <w:bCs w:val="false"/>
          <w:color w:val="000000"/>
          <w:sz w:val="24"/>
          <w:szCs w:val="24"/>
          <w:u w:val="none"/>
        </w:rPr>
        <w:t>Flores and Rosa (2015) Critique the prescriptive ideology of a correct way of using language and arbitrary priv</w:t>
      </w:r>
      <w:r>
        <w:rPr>
          <w:rStyle w:val="StrongEmphasis"/>
          <w:b w:val="false"/>
          <w:bCs w:val="false"/>
          <w:color w:val="000000"/>
          <w:sz w:val="24"/>
          <w:szCs w:val="24"/>
          <w:u w:val="none"/>
        </w:rPr>
        <w:t>ileging</w:t>
      </w:r>
      <w:r>
        <w:rPr>
          <w:rStyle w:val="StrongEmphasis"/>
          <w:b w:val="false"/>
          <w:bCs w:val="false"/>
          <w:color w:val="000000"/>
          <w:sz w:val="24"/>
          <w:szCs w:val="24"/>
          <w:u w:val="none"/>
        </w:rPr>
        <w:t xml:space="preserve"> </w:t>
      </w:r>
      <w:r>
        <w:rPr>
          <w:rStyle w:val="StrongEmphasis"/>
          <w:b w:val="false"/>
          <w:bCs w:val="false"/>
          <w:color w:val="000000"/>
          <w:sz w:val="24"/>
          <w:szCs w:val="24"/>
          <w:u w:val="none"/>
        </w:rPr>
        <w:t xml:space="preserve">of </w:t>
      </w:r>
      <w:r>
        <w:rPr>
          <w:rStyle w:val="StrongEmphasis"/>
          <w:b w:val="false"/>
          <w:bCs w:val="false"/>
          <w:color w:val="000000"/>
          <w:sz w:val="24"/>
          <w:szCs w:val="24"/>
          <w:u w:val="none"/>
        </w:rPr>
        <w:t xml:space="preserve">particular linguistic practices while stigmatizing others. They referred to the work of Laboure in 1969 where he talks about non standard English and the importance of valuing the way different communities use words </w:t>
      </w:r>
      <w:r>
        <w:rPr>
          <w:rStyle w:val="StrongEmphasis"/>
          <w:b w:val="false"/>
          <w:bCs w:val="false"/>
          <w:color w:val="000000"/>
          <w:sz w:val="24"/>
          <w:szCs w:val="24"/>
          <w:u w:val="none"/>
        </w:rPr>
        <w:t xml:space="preserve">and the ‘funds of knowledge’ that multilingual children bring into epistemic negotiation mediated by their use of particular words. It is interesting to note the conception of ‘accent’ in the United States demonstrates the ways that the subject who is listening systematically perceived some linguistic practices and ignore others. They </w:t>
      </w:r>
      <w:r>
        <w:rPr>
          <w:rStyle w:val="StrongEmphasis"/>
          <w:b w:val="false"/>
          <w:bCs w:val="false"/>
          <w:color w:val="000000"/>
          <w:sz w:val="24"/>
          <w:szCs w:val="24"/>
          <w:u w:val="none"/>
        </w:rPr>
        <w:t>cite</w:t>
      </w:r>
      <w:r>
        <w:rPr>
          <w:rStyle w:val="StrongEmphasis"/>
          <w:b w:val="false"/>
          <w:bCs w:val="false"/>
          <w:color w:val="000000"/>
          <w:sz w:val="24"/>
          <w:szCs w:val="24"/>
          <w:u w:val="none"/>
        </w:rPr>
        <w:t xml:space="preserve"> Vald</w:t>
      </w:r>
      <w:r>
        <w:rPr>
          <w:rStyle w:val="StrongEmphasis"/>
          <w:rFonts w:ascii="Times New Roman" w:hAnsi="Times New Roman"/>
          <w:b w:val="false"/>
          <w:bCs w:val="false"/>
          <w:color w:val="000000"/>
          <w:sz w:val="24"/>
          <w:szCs w:val="24"/>
          <w:u w:val="none"/>
        </w:rPr>
        <w:t>é</w:t>
      </w:r>
      <w:r>
        <w:rPr>
          <w:rStyle w:val="StrongEmphasis"/>
          <w:b w:val="false"/>
          <w:bCs w:val="false"/>
          <w:color w:val="000000"/>
          <w:sz w:val="24"/>
          <w:szCs w:val="24"/>
          <w:u w:val="none"/>
        </w:rPr>
        <w:t xml:space="preserve">s(2001b) Who advocates language abilities conceptualized as a continuum from more or less monolingual to more or less bilingual and notes that there are features of language which are familiar to non prestige speakers yet unfamiliar to prestige speakers and vice versa such that non prestige speakers possess a narrower range of lexical and syntactic alternatives. This is related to the concept of Diglosia given by Fishman in 1967 where varieties are positioned as formal or high and informal or low given a certain context. This is applicable to language as artifact conceptualized as a structured inventory </w:t>
      </w:r>
      <w:r>
        <w:rPr>
          <w:rStyle w:val="StrongEmphasis"/>
          <w:b w:val="false"/>
          <w:bCs w:val="false"/>
          <w:color w:val="000000"/>
          <w:sz w:val="24"/>
          <w:szCs w:val="24"/>
          <w:u w:val="none"/>
        </w:rPr>
        <w:t xml:space="preserve">with symbols that are uniquely associated with one another. </w:t>
      </w:r>
    </w:p>
    <w:p>
      <w:pPr>
        <w:pStyle w:val="Normal"/>
        <w:spacing w:lineRule="auto" w:line="276" w:before="0" w:after="160"/>
        <w:ind w:left="0" w:right="0" w:hanging="0"/>
        <w:jc w:val="both"/>
        <w:rPr>
          <w:b/>
          <w:b/>
          <w:bCs/>
          <w:color w:val="000000"/>
          <w:sz w:val="24"/>
          <w:szCs w:val="24"/>
          <w:u w:val="none"/>
        </w:rPr>
      </w:pPr>
      <w:r>
        <w:rPr/>
      </w:r>
    </w:p>
    <w:p>
      <w:pPr>
        <w:pStyle w:val="Normal"/>
        <w:spacing w:lineRule="auto" w:line="276" w:before="0" w:after="160"/>
        <w:jc w:val="both"/>
        <w:rPr/>
      </w:pPr>
      <w:r>
        <w:rPr>
          <w:b/>
          <w:bCs/>
          <w:color w:val="000000"/>
          <w:sz w:val="24"/>
          <w:szCs w:val="24"/>
          <w:u w:val="none"/>
        </w:rPr>
        <w:t>2.1 Mapping</w:t>
      </w:r>
    </w:p>
    <w:p>
      <w:pPr>
        <w:pStyle w:val="TextBody"/>
        <w:spacing w:lineRule="auto" w:line="276"/>
        <w:jc w:val="both"/>
        <w:rPr/>
      </w:pPr>
      <w:r>
        <w:rPr/>
        <w:t>Berríos, Swain, and Fricke (2023) demonstrate that spoken language reduces self-monitoring by minimizing planning time in comparison to written modalities. This phenomenon is also evidenced in the works of Eckert and Labov (2017), Labov (1972), and Milroy (1993). Spontaneous speech reveals a distinct level of linguistic organization, characterized by features such as filler words, repetitions, and phonetic reduction.</w:t>
      </w:r>
    </w:p>
    <w:p>
      <w:pPr>
        <w:pStyle w:val="TextBody"/>
        <w:spacing w:lineRule="auto" w:line="276"/>
        <w:jc w:val="both"/>
        <w:rPr/>
      </w:pPr>
      <w:r>
        <w:rPr/>
        <w:t>To investigate this, Berríos, Swain, and Fricke revised and adapted earlier map task methodologies, conducting their own version of the experiment. Similar map tasks were previously implemented by Brown et al. (1983), Anderson et al. (1991), and Pardo et al. (2019). The map task is typically employed to examine language varieties and was originally designed to study varieties of English specifically. The 2023 iteration of the map task incorporates an empirically observable goal, executed through language, which enables the researchers to derive insights about language itself. However, this form of task is not universally applicable across all classroom contexts due to varying learning objectives and differing epistemological orientations toward learning.</w:t>
      </w:r>
    </w:p>
    <w:p>
      <w:pPr>
        <w:pStyle w:val="TextBody"/>
        <w:spacing w:lineRule="auto" w:line="276"/>
        <w:jc w:val="both"/>
        <w:rPr/>
      </w:pPr>
      <w:r>
        <w:rPr/>
        <w:t>Philippi’s 2014 map task focused on speakers of Australian English and aimed to analyze communicative strategies in situations where perspectives and orientation concepts are not mutually shared. Communication is ideally considered successful when the speaker either accommodates the interlocutor or adopts their perspective in constructing the communicative structure. Within situated communicative dynamics, it is highly improbable for individuals to possess identical experiential backgrounds or to form identical associations from shared conceptual structures. Even when conceptual structures are common between entities, divergent associations may still arise.</w:t>
      </w:r>
    </w:p>
    <w:p>
      <w:pPr>
        <w:pStyle w:val="TextBody"/>
        <w:spacing w:lineRule="auto" w:line="276"/>
        <w:jc w:val="both"/>
        <w:rPr/>
      </w:pPr>
      <w:r>
        <w:rPr/>
        <w:t>Filipi observes that certain terms are more likely to generate alternative conceptions than others. Nonetheless, the influence of geographical, social, cultural, and political variables on this phenomenon remains largely unexamined in the study. Filipi also explores the concept of repair within both psycholinguistic and ethnomethodological frameworks.</w:t>
      </w:r>
    </w:p>
    <w:p>
      <w:pPr>
        <w:pStyle w:val="TextBody"/>
        <w:tabs>
          <w:tab w:val="clear" w:pos="709"/>
          <w:tab w:val="left" w:pos="707" w:leader="none"/>
        </w:tabs>
        <w:spacing w:lineRule="auto" w:line="276" w:before="0" w:after="160"/>
        <w:jc w:val="both"/>
        <w:rPr>
          <w:b/>
          <w:b/>
          <w:bCs/>
        </w:rPr>
      </w:pPr>
      <w:r>
        <w:rPr>
          <w:rStyle w:val="StrongEmphasis"/>
          <w:b w:val="false"/>
          <w:bCs w:val="false"/>
          <w:color w:val="000000"/>
          <w:sz w:val="24"/>
          <w:szCs w:val="24"/>
          <w:u w:val="none"/>
        </w:rPr>
        <w:t>The sociolinguistic context of the Indian classroom presents a notable exception. The high teacher-to-student ratio and limited instructional time offer minimal opportunity for educators to accommodate the emergence of alternative conceptions. These constraints also hinder the implementation of repair sequences to address misinterpretations. Nevertheless, a discernible preference for specific terminology—based on the instructor’s assumptions or the teacher’s constructed model of student understanding—is evident in scenarios where communication is strategically designed to enhance conceptual accessibility (Steffe &amp; D’Ambrosio, 1995; Norton &amp; D’Ambrosio, 2008).</w:t>
      </w:r>
    </w:p>
    <w:p>
      <w:pPr>
        <w:pStyle w:val="Normal"/>
        <w:spacing w:lineRule="auto" w:line="276" w:before="0" w:after="160"/>
        <w:jc w:val="both"/>
        <w:rPr>
          <w:b w:val="false"/>
          <w:b w:val="false"/>
          <w:bCs w:val="false"/>
          <w:sz w:val="24"/>
          <w:szCs w:val="24"/>
          <w:u w:val="none"/>
        </w:rPr>
      </w:pPr>
      <w:r>
        <w:rPr>
          <w:b w:val="false"/>
          <w:bCs w:val="false"/>
          <w:sz w:val="24"/>
          <w:szCs w:val="24"/>
          <w:u w:val="none"/>
        </w:rPr>
      </w:r>
    </w:p>
    <w:p>
      <w:pPr>
        <w:pStyle w:val="Normal"/>
        <w:spacing w:lineRule="auto" w:line="276" w:before="0" w:after="160"/>
        <w:jc w:val="both"/>
        <w:rPr>
          <w:b/>
          <w:b/>
          <w:bCs/>
          <w:sz w:val="24"/>
          <w:szCs w:val="24"/>
          <w:u w:val="none"/>
        </w:rPr>
      </w:pPr>
      <w:r>
        <w:rPr>
          <w:b/>
          <w:bCs/>
          <w:sz w:val="24"/>
          <w:szCs w:val="24"/>
          <w:u w:val="none"/>
        </w:rPr>
        <w:t xml:space="preserve">3. Methodology </w:t>
      </w:r>
    </w:p>
    <w:p>
      <w:pPr>
        <w:pStyle w:val="Normal"/>
        <w:spacing w:lineRule="auto" w:line="276"/>
        <w:jc w:val="both"/>
        <w:rPr/>
      </w:pPr>
      <w:r>
        <w:rPr>
          <w:b w:val="false"/>
          <w:bCs w:val="false"/>
        </w:rPr>
        <w:t>The comparison and analysis of structures produced within the context of a classroom is contingent upon several factors. Foremost among these being that the class belongs to a National Institute within a linguistically and socio-culturally diverse political domain.  This not only creates a unique demographic character of the group of students but a well diversified set of conceptual frameworks being used to build knowledge upon. Important social differentiators and markers are also present within this network and play a significant role in generalisation patterns.</w:t>
      </w:r>
    </w:p>
    <w:p>
      <w:pPr>
        <w:pStyle w:val="Normal"/>
        <w:widowControl/>
        <w:bidi w:val="0"/>
        <w:spacing w:lineRule="auto" w:line="276"/>
        <w:ind w:left="0" w:right="0" w:firstLine="180"/>
        <w:jc w:val="both"/>
        <w:rPr/>
      </w:pPr>
      <w:r>
        <w:rPr>
          <w:rStyle w:val="StrongEmphasis"/>
          <w:rFonts w:cs="Times New Roman"/>
          <w:b w:val="false"/>
          <w:bCs w:val="false"/>
          <w:sz w:val="24"/>
          <w:szCs w:val="24"/>
          <w:lang w:val="en-IN"/>
        </w:rPr>
        <w:t xml:space="preserve">Alobaid (2023) Reports that multilingualism through Language mixing code switching and translanguaging is a way of life for people in India and very common for the Indian classroom. Absence of equivalent terms in specific social linguistic contexts bring to the fore the question of proficiency and also the factor that it is easier or quicker to explain something in one language than in another. Langacker in 1987 Notes convention as a key determinant for access of structures to categorize usage events for the both coding and decoding process </w:t>
      </w:r>
    </w:p>
    <w:p>
      <w:pPr>
        <w:pStyle w:val="Normal"/>
        <w:spacing w:lineRule="auto" w:line="276"/>
        <w:jc w:val="both"/>
        <w:rPr>
          <w:b w:val="false"/>
          <w:b w:val="false"/>
          <w:bCs w:val="false"/>
        </w:rPr>
      </w:pPr>
      <w:r>
        <w:rPr>
          <w:b w:val="false"/>
          <w:bCs w:val="false"/>
        </w:rPr>
      </w:r>
    </w:p>
    <w:p>
      <w:pPr>
        <w:pStyle w:val="Normal"/>
        <w:spacing w:lineRule="auto" w:line="276"/>
        <w:jc w:val="both"/>
        <w:rPr/>
      </w:pPr>
      <w:r>
        <w:rPr>
          <w:b w:val="false"/>
          <w:bCs w:val="false"/>
        </w:rPr>
        <w:t>Hiroshi Azuma, in 1984 and 1986 Interestingly note that a single unit of phenomenon has different cultures attending to different aspects. Therefore any method that is adopted to study any form of human behavior becomes more accurate and more finely differentiated when it is attuned to the culture from which the behavior arises.</w:t>
      </w:r>
    </w:p>
    <w:p>
      <w:pPr>
        <w:pStyle w:val="Normal"/>
        <w:spacing w:lineRule="auto" w:line="276"/>
        <w:jc w:val="both"/>
        <w:rPr/>
      </w:pPr>
      <w:r>
        <w:rPr>
          <w:b w:val="false"/>
          <w:bCs w:val="false"/>
        </w:rPr>
        <w:t>In the context of the concept of a good child in Japanese culture, White and LeVine in 1986 discuss the correlation of errors and specific cultures. They contrast the Japanese and Western definitions of a child and perceptions about a child with implications for instructional practices and how goals and degree of expected homogeneity of beliefs and attitudes are negotiated within the domain of education.</w:t>
      </w:r>
    </w:p>
    <w:p>
      <w:pPr>
        <w:pStyle w:val="Normal"/>
        <w:spacing w:lineRule="auto" w:line="276"/>
        <w:jc w:val="both"/>
        <w:rPr>
          <w:b w:val="false"/>
          <w:b w:val="false"/>
          <w:bCs w:val="false"/>
        </w:rPr>
      </w:pPr>
      <w:r>
        <w:rPr>
          <w:b w:val="false"/>
          <w:bCs w:val="false"/>
        </w:rPr>
      </w:r>
    </w:p>
    <w:p>
      <w:pPr>
        <w:pStyle w:val="Normal"/>
        <w:spacing w:lineRule="auto" w:line="276"/>
        <w:jc w:val="both"/>
        <w:rPr/>
      </w:pPr>
      <w:r>
        <w:rPr>
          <w:b w:val="false"/>
          <w:bCs w:val="false"/>
        </w:rPr>
        <w:t>Roth and Roychhowdhury in 1993 also noted Hartano and Inagaki in 1987 and 1991 who had pointed out that when the student has to explain themselves or defend their position, It brings out what they have understood in detail.</w:t>
      </w:r>
    </w:p>
    <w:p>
      <w:pPr>
        <w:pStyle w:val="Normal"/>
        <w:spacing w:lineRule="auto" w:line="276"/>
        <w:jc w:val="both"/>
        <w:rPr>
          <w:b w:val="false"/>
          <w:b w:val="false"/>
          <w:bCs w:val="false"/>
        </w:rPr>
      </w:pPr>
      <w:r>
        <w:rPr>
          <w:b w:val="false"/>
          <w:bCs w:val="false"/>
        </w:rPr>
      </w:r>
    </w:p>
    <w:p>
      <w:pPr>
        <w:pStyle w:val="Normal"/>
        <w:spacing w:lineRule="auto" w:line="276"/>
        <w:jc w:val="both"/>
        <w:rPr/>
      </w:pPr>
      <w:r>
        <w:rPr>
          <w:b w:val="false"/>
          <w:bCs w:val="false"/>
        </w:rPr>
        <w:tab/>
        <w:t>Artifactual linguistic units are found in mixed form within spontaneous coding in real time, where attention to form is relatively minimised. No social cultural or controlled factor aids to increase cognizance of communication style. This may be attributed to the role of the instructor within the power dynamics of the classroom. Syahriani in 2024 Examined the negotiation of power between the student and the instructor in the classroom context and the heterogeneity of these negotiations within specific settings challenging the notion of a monolithic understanding of such power relations.</w:t>
      </w:r>
    </w:p>
    <w:p>
      <w:pPr>
        <w:pStyle w:val="Normal"/>
        <w:spacing w:lineRule="auto" w:line="276"/>
        <w:jc w:val="both"/>
        <w:rPr>
          <w:b w:val="false"/>
          <w:b w:val="false"/>
          <w:bCs w:val="false"/>
        </w:rPr>
      </w:pPr>
      <w:r>
        <w:rPr>
          <w:b w:val="false"/>
          <w:bCs w:val="false"/>
        </w:rPr>
      </w:r>
    </w:p>
    <w:p>
      <w:pPr>
        <w:pStyle w:val="Normal"/>
        <w:spacing w:lineRule="auto" w:line="276"/>
        <w:jc w:val="both"/>
        <w:rPr/>
      </w:pPr>
      <w:r>
        <w:rPr>
          <w:b w:val="false"/>
          <w:bCs w:val="false"/>
        </w:rPr>
        <w:tab/>
        <w:t xml:space="preserve">The physical context of the classroom must also be taken into account considering that sound is not equally distributed within the physical layout of a tiered lecture Hall exempli gratia being seated at the front allows one to lip read along with hearing the instructor which a seat relatively further away, does not allow. In addition to features of entrenched systems which determine access to standard conception; a physical context determines access to sound patterns which are then further comprehended according to entrenched patterns. The fact that the instructor is not seated but rather standing or walking around while coding also effects breathing patterns and therefore the structure of the produced sound. </w:t>
      </w:r>
    </w:p>
    <w:p>
      <w:pPr>
        <w:pStyle w:val="Normal"/>
        <w:spacing w:lineRule="auto" w:line="276"/>
        <w:jc w:val="both"/>
        <w:rPr/>
      </w:pPr>
      <w:r>
        <w:rPr>
          <w:b w:val="false"/>
          <w:bCs w:val="false"/>
        </w:rPr>
        <w:tab/>
        <w:t xml:space="preserve">The analysis does restrict itself to propositional structures with respect to the spontaneous categorization of usage events. It accesses windows of attention through intonational groupings and placement of pauses to increase the alignment of the analysis to correspond better with the particular language phenomenon in question (langacker, 2017). </w:t>
      </w:r>
    </w:p>
    <w:p>
      <w:pPr>
        <w:pStyle w:val="Normal"/>
        <w:spacing w:lineRule="auto" w:line="276"/>
        <w:jc w:val="both"/>
        <w:rPr/>
      </w:pPr>
      <w:r>
        <w:rPr>
          <w:b w:val="false"/>
          <w:bCs w:val="false"/>
        </w:rPr>
        <w:tab/>
        <w:t>The audio data collected is classified into types post narrow transcription taking into account the entrenched systemic phonological and symbolic inventory of the classifying researcher. The researcher is a native speaker of Bengali, trained through intensive speech training in Received Pronunciation for over 6 years at a developmental stage, trained to read, write and evaluate literature for 14 years in standard English and standard Bengali with a dedicated separation maintained between language and literature course, taught other academic courses and analysis through the medium of standard Indian English and a short evaluated course of third language instruction in Hindi. The access to narrative auditory, visual media is limited to popular varieties of standard units available for access to the Indian citizen with respect to the three comprehensible language units. This serves to inform the observation bias of the researcher with respect to classification of sound groups into words. Narrow transcription has been adopted to minimise this bias to a certain degree. The classification of sounds has taken into account context and construal and surrounding predicates.</w:t>
      </w:r>
    </w:p>
    <w:p>
      <w:pPr>
        <w:pStyle w:val="Normal"/>
        <w:spacing w:lineRule="auto" w:line="276"/>
        <w:jc w:val="both"/>
        <w:rPr/>
      </w:pPr>
      <w:r>
        <w:rPr>
          <w:b w:val="false"/>
          <w:bCs w:val="false"/>
        </w:rPr>
        <w:tab/>
        <w:t xml:space="preserve">This study has been conducted in an Indian Institute of Technology.  It is a residential campus and groups together students from very different linguistic backgrounds. Spontaneous formations of link language for communicative purpose in continuous state of evolution through the academic program duration; are also fairly common. Several types of ICMs used by the instructor to construct analogies rely upon the context of this social space as a shared convention to establish mental contact. </w:t>
      </w:r>
    </w:p>
    <w:p>
      <w:pPr>
        <w:pStyle w:val="Normal"/>
        <w:spacing w:lineRule="auto" w:line="276"/>
        <w:jc w:val="both"/>
        <w:rPr/>
      </w:pPr>
      <w:r>
        <w:rPr>
          <w:b w:val="false"/>
          <w:bCs w:val="false"/>
        </w:rPr>
        <w:tab/>
        <w:t xml:space="preserve">Since cognitive grammar is adopted as the analytic framework; it is important to identify that the focus of analysis is the heuristic analogy constructed by the student and trace its emergence to the post festum analogy constructed by the instructor from propositional knowledge. The link and discrepancy between the structures is analysed using systemic and organizational structures at different levels to evaluate and compare the structures. </w:t>
      </w:r>
    </w:p>
    <w:p>
      <w:pPr>
        <w:pStyle w:val="Normal"/>
        <w:spacing w:lineRule="auto" w:line="276"/>
        <w:jc w:val="both"/>
        <w:rPr>
          <w:b/>
          <w:b/>
          <w:bCs/>
        </w:rPr>
      </w:pPr>
      <w:r>
        <w:rPr>
          <w:b/>
          <w:bCs/>
        </w:rPr>
        <w:t>3.1 Analytical model</w:t>
      </w:r>
    </w:p>
    <w:p>
      <w:pPr>
        <w:pStyle w:val="TextBody"/>
        <w:spacing w:lineRule="auto" w:line="276"/>
        <w:jc w:val="both"/>
        <w:rPr/>
      </w:pPr>
      <w:r>
        <w:rPr/>
        <w:t>The phenomenon of language is examined across multiple levels and through a wide array of dimensions and facets. Analytical approaches to these levels may be modular or non-modular, each offering distinct insights. The delineation of artifactual units—shaped by social, cultural, political, geographical, occupational, and environmental factors—produces the bounded structures typically recognized within canonical linguistic domains (Chambers &amp; Trudgill, 1998).</w:t>
      </w:r>
    </w:p>
    <w:p>
      <w:pPr>
        <w:pStyle w:val="TextBody"/>
        <w:spacing w:lineRule="auto" w:line="276"/>
        <w:jc w:val="both"/>
        <w:rPr/>
      </w:pPr>
      <w:r>
        <w:rPr/>
        <w:t>Individuals are situated in space and time within a continuum of linguistic variation. In everyday communicative practice, individuals neither need to nor typically do identify the specific lects they employ for different communicative purposes.</w:t>
      </w:r>
    </w:p>
    <w:p>
      <w:pPr>
        <w:pStyle w:val="TextBody"/>
        <w:spacing w:lineRule="auto" w:line="276"/>
        <w:jc w:val="both"/>
        <w:rPr/>
      </w:pPr>
      <w:r>
        <w:rPr/>
        <w:t>Although it is common to distinguish between the act of construction and the act of reiteration or note-taking, Noddings (1990) challenges this separation. She argues that reiteration and note-taking are themselves acts of active construction. This paper adopts Steffe’s theory of the Zone of Potential Construction (ZPC), which diverges from Vygotsky’s perspective. Vygotsky posits that problems, concepts, knowledge, and society exist independently of the individual, such that the individual either succeeds or fails in grasping and internalizing entities that are objectively external to their own conception. In contrast, von Glasersfeld (1995) introduces the scheme-theoretic approach, whereinproblems, concepts, knowledge, and society originate within the individual’s unique experiences, forming the basis for personal constructions. This perspective foregrounds individual conception as the essential foundation for knowledge construction. Steffe conceptualizes the ZPC as a range, within which dynamic communicative environments lead to the modification of conceptual structures (Steffe, 1991; Norton &amp; D’Ambrosio, 2008).</w:t>
      </w:r>
    </w:p>
    <w:p>
      <w:pPr>
        <w:pStyle w:val="TextBody"/>
        <w:spacing w:lineRule="auto" w:line="276"/>
        <w:jc w:val="both"/>
        <w:rPr>
          <w:b/>
          <w:b/>
          <w:bCs/>
        </w:rPr>
      </w:pPr>
      <w:r>
        <w:rPr>
          <w:b w:val="false"/>
          <w:bCs w:val="false"/>
        </w:rPr>
        <w:t>The analytical framework guiding this study is Ronald Langacker’s cognitive grammar. Within this framework, grammar is understood as comprising symbolic units. It is conceived as a structured inventory that includes entities of the ‘thing’ type, entities of the ‘relation’ type, and constructional schemas. Cognitive grammar adopts the prototype model of categorization rather than the criterial attribute model. Its substantive foundations reject the notion of communication as mere transfer. Communicative success does not require interlocutors to possess identical</w:t>
      </w:r>
      <w:r>
        <w:rPr>
          <w:b/>
          <w:bCs/>
        </w:rPr>
        <w:t xml:space="preserve"> </w:t>
      </w:r>
      <w:r>
        <w:rPr>
          <w:b w:val="false"/>
          <w:bCs w:val="false"/>
        </w:rPr>
        <w:t>knowledge; mental contact can be established without complete conceptual overlap. Because individuals rarely share identical experiential histories, conceptual structures are seldom fully shared. Communication occurs through partially shared structures. The sharing of structured inventories of conventional items does not imply the sharing of underlying conceptual structures. Cognitive grammar applies the same analytical process to target structure, coding, and interpretation. By modeling the categorization of partially shared structures, the framework enables a robust analytical capacity to account for the expansion of the knowledge network (Langacker, 1987, 2009, 2012).</w:t>
      </w:r>
    </w:p>
    <w:p>
      <w:pPr>
        <w:pStyle w:val="Normal"/>
        <w:spacing w:lineRule="auto" w:line="276"/>
        <w:jc w:val="both"/>
        <w:rPr>
          <w:b w:val="false"/>
          <w:b w:val="false"/>
          <w:bCs w:val="false"/>
        </w:rPr>
      </w:pPr>
      <w:r>
        <w:rPr>
          <w:b w:val="false"/>
          <w:bCs w:val="false"/>
        </w:rPr>
      </w:r>
    </w:p>
    <w:p>
      <w:pPr>
        <w:pStyle w:val="Normal"/>
        <w:spacing w:lineRule="auto" w:line="276"/>
        <w:jc w:val="both"/>
        <w:rPr/>
      </w:pPr>
      <w:r>
        <w:rPr>
          <w:b/>
          <w:bCs/>
        </w:rPr>
        <w:t xml:space="preserve">3.2 </w:t>
      </w:r>
      <w:r>
        <w:rPr>
          <w:b/>
          <w:bCs/>
        </w:rPr>
        <w:t xml:space="preserve">Subject summary and other details </w:t>
      </w:r>
    </w:p>
    <w:p>
      <w:pPr>
        <w:pStyle w:val="Normal"/>
        <w:spacing w:lineRule="auto" w:line="276"/>
        <w:jc w:val="both"/>
        <w:rPr>
          <w:b/>
          <w:b/>
          <w:bCs/>
        </w:rPr>
      </w:pPr>
      <w:r>
        <w:rPr/>
      </w:r>
    </w:p>
    <w:p>
      <w:pPr>
        <w:pStyle w:val="NormalWeb"/>
        <w:spacing w:lineRule="auto" w:line="276" w:before="0" w:after="160"/>
        <w:jc w:val="both"/>
        <w:rPr>
          <w:b w:val="false"/>
          <w:b w:val="false"/>
          <w:bCs w:val="false"/>
        </w:rPr>
      </w:pPr>
      <w:r>
        <w:rPr>
          <w:rFonts w:cs="Times New Roman"/>
          <w:b w:val="false"/>
          <w:bCs w:val="false"/>
          <w:color w:val="000000"/>
        </w:rPr>
        <w:t>The interview takes place post the conclusion of an instructional period of 53 minutes and 35 seconds. The subject is a male student of a technical institute and a resident of Calicut in Kerala.  more.  The subject is from an English Medium School, CBSE Board(Central Board of Secondary Education ) with a standardised curriculum that primarily aims to prepare students for joint entrance exams and competitive exams for a science background (Gradehunt, n.d). The subject is in his first year of an engineering course and has applied for psychology as an extra departmental subject. The subject identifies Malayalam as mother tongue. The subject also has proficiency in Hindi and German. The subject enjoys watching “The Office” indicating that the preferred mode of entertainment is in American varieties of English.</w:t>
      </w:r>
    </w:p>
    <w:p>
      <w:pPr>
        <w:pStyle w:val="TextBody"/>
        <w:spacing w:lineRule="auto" w:line="276"/>
        <w:jc w:val="both"/>
        <w:rPr>
          <w:b w:val="false"/>
          <w:b w:val="false"/>
          <w:bCs w:val="false"/>
        </w:rPr>
      </w:pPr>
      <w:r>
        <w:rPr>
          <w:b w:val="false"/>
          <w:bCs w:val="false"/>
        </w:rPr>
      </w:r>
    </w:p>
    <w:p>
      <w:pPr>
        <w:pStyle w:val="TextBody"/>
        <w:spacing w:lineRule="auto" w:line="276"/>
        <w:jc w:val="both"/>
        <w:rPr>
          <w:b/>
          <w:b/>
          <w:bCs/>
        </w:rPr>
      </w:pPr>
      <w:r>
        <w:rPr>
          <w:b/>
          <w:bCs/>
        </w:rPr>
        <w:t xml:space="preserve">3.3 </w:t>
      </w:r>
      <w:r>
        <w:rPr>
          <w:rFonts w:eastAsia="Times New Roman" w:cs="Times New Roman"/>
          <w:b/>
          <w:bCs/>
          <w:sz w:val="24"/>
          <w:szCs w:val="24"/>
        </w:rPr>
        <w:t>Structural analysis of linking predicates</w:t>
      </w:r>
    </w:p>
    <w:p>
      <w:pPr>
        <w:pStyle w:val="Normal"/>
        <w:spacing w:lineRule="auto" w:line="276" w:before="0" w:after="0"/>
        <w:ind w:left="0" w:right="0" w:hanging="0"/>
        <w:jc w:val="both"/>
        <w:rPr/>
      </w:pPr>
      <w:r>
        <w:rPr>
          <w:rFonts w:eastAsia="Times New Roman" w:cs="Times New Roman"/>
          <w:b w:val="false"/>
          <w:bCs w:val="false"/>
          <w:sz w:val="24"/>
          <w:szCs w:val="24"/>
        </w:rPr>
        <w:t xml:space="preserve"> </w:t>
      </w:r>
      <w:r>
        <w:rPr>
          <w:rFonts w:eastAsia="Times New Roman" w:cs="Times New Roman"/>
          <w:b w:val="false"/>
          <w:bCs w:val="false"/>
          <w:sz w:val="24"/>
          <w:szCs w:val="24"/>
        </w:rPr>
        <w:t xml:space="preserve">The predicate ‘schema’ in the interrogative in the first turn of the adjacent pair invokes ‘It is like a set of memories’ with significant constructional effort. The predicate ‘memory’ construed as modified instances or replicate mass; is coded 95 times during the 53 minutes and 35 seconds of instruction, remaining as topic in the conceptual substrate for the whole of the instructional period. </w:t>
      </w:r>
    </w:p>
    <w:p>
      <w:pPr>
        <w:pStyle w:val="Normal"/>
        <w:spacing w:lineRule="auto" w:line="276" w:before="0" w:after="0"/>
        <w:ind w:left="0" w:right="0" w:hanging="0"/>
        <w:jc w:val="both"/>
        <w:rPr/>
      </w:pPr>
      <w:r>
        <w:rPr>
          <w:rFonts w:eastAsia="Times New Roman" w:cs="Times New Roman"/>
          <w:b w:val="false"/>
          <w:bCs w:val="false"/>
          <w:sz w:val="24"/>
          <w:szCs w:val="24"/>
        </w:rPr>
        <w:t xml:space="preserve">The predicate ‘schema’ is elaborated in the 37th minute and 13th second. The predicate used by the instructor is ‘cluster’.  The predicate ‘set’ is never used by the instructor throughout the instructional period in the sense that it is used by the student; as a collection of discrete entities. This definition pertains to the very specific domain of mathematics. It is used in the sense of something becoming concretized and unchangeable at 42 minutes and 48 seconds in the predicate, </w:t>
      </w:r>
    </w:p>
    <w:p>
      <w:pPr>
        <w:pStyle w:val="Normal"/>
        <w:spacing w:lineRule="auto" w:line="276" w:before="0" w:after="0"/>
        <w:ind w:left="0" w:right="0" w:hanging="0"/>
        <w:jc w:val="both"/>
        <w:rPr/>
      </w:pPr>
      <w:r>
        <w:rPr>
          <w:rFonts w:eastAsia="Times New Roman" w:cs="Times New Roman"/>
          <w:b w:val="false"/>
          <w:bCs w:val="false"/>
          <w:sz w:val="24"/>
          <w:szCs w:val="24"/>
        </w:rPr>
        <w:t xml:space="preserve"> ‘</w:t>
      </w:r>
      <w:r>
        <w:rPr>
          <w:rFonts w:eastAsia="Times New Roman" w:cs="Times New Roman"/>
          <w:b w:val="false"/>
          <w:bCs w:val="false"/>
          <w:sz w:val="24"/>
          <w:szCs w:val="24"/>
        </w:rPr>
        <w:t xml:space="preserve">Basically schemas set </w:t>
      </w:r>
      <w:r>
        <w:rPr>
          <w:rStyle w:val="StrongEmphasis"/>
          <w:rFonts w:ascii="Times New Roman" w:hAnsi="Times New Roman" w:cs="Times New Roman"/>
          <w:b w:val="false"/>
          <w:b w:val="false"/>
          <w:bCs w:val="false"/>
        </w:rPr>
        <w:t>हो चुके हैं</w:t>
      </w:r>
      <w:r>
        <w:rPr>
          <w:rStyle w:val="StrongEmphasis"/>
          <w:rFonts w:cs="Times New Roman"/>
          <w:b w:val="false"/>
          <w:bCs w:val="false"/>
        </w:rPr>
        <w:t>', using a constructional schema of the Hindi varieties and predicates from both English varieties and Hindi varieties. This is repeated at 43 minutes and 11 seconds as ‘</w:t>
      </w:r>
      <w:r>
        <w:rPr>
          <w:rStyle w:val="StrongEmphasis"/>
          <w:rFonts w:ascii="Times New Roman" w:hAnsi="Times New Roman" w:cs="Times New Roman"/>
          <w:b w:val="false"/>
          <w:b w:val="false"/>
          <w:bCs w:val="false"/>
          <w:iCs w:val="false"/>
          <w:caps w:val="false"/>
          <w:smallCaps w:val="false"/>
          <w:color w:val="000000"/>
          <w:spacing w:val="0"/>
          <w:sz w:val="24"/>
          <w:sz w:val="24"/>
          <w:szCs w:val="24"/>
        </w:rPr>
        <w:t xml:space="preserve">यह </w:t>
      </w:r>
      <w:r>
        <w:rPr>
          <w:rStyle w:val="StrongEmphasis"/>
          <w:rFonts w:cs="Times New Roman"/>
          <w:b w:val="false"/>
          <w:bCs w:val="false"/>
          <w:iCs w:val="false"/>
          <w:caps w:val="false"/>
          <w:smallCaps w:val="false"/>
          <w:color w:val="000000"/>
          <w:spacing w:val="0"/>
          <w:sz w:val="24"/>
          <w:szCs w:val="24"/>
        </w:rPr>
        <w:t xml:space="preserve">schema set </w:t>
      </w:r>
      <w:r>
        <w:rPr>
          <w:rStyle w:val="StrongEmphasis"/>
          <w:rFonts w:ascii="Times New Roman" w:hAnsi="Times New Roman" w:cs="Times New Roman"/>
          <w:b w:val="false"/>
          <w:b w:val="false"/>
          <w:bCs w:val="false"/>
          <w:iCs w:val="false"/>
          <w:caps w:val="false"/>
          <w:smallCaps w:val="false"/>
          <w:color w:val="000000"/>
          <w:spacing w:val="0"/>
          <w:sz w:val="24"/>
          <w:sz w:val="24"/>
          <w:szCs w:val="24"/>
        </w:rPr>
        <w:t>हो चुका है</w:t>
      </w:r>
      <w:r>
        <w:rPr>
          <w:rStyle w:val="StrongEmphasis"/>
          <w:rFonts w:cs="Roboto;Helvetica;sans-serif"/>
          <w:b w:val="false"/>
          <w:bCs w:val="false"/>
          <w:iCs w:val="false"/>
          <w:caps w:val="false"/>
          <w:smallCaps w:val="false"/>
          <w:color w:val="666666"/>
          <w:spacing w:val="0"/>
          <w:szCs w:val="21"/>
        </w:rPr>
        <w:t xml:space="preserve">' </w:t>
      </w:r>
      <w:r>
        <w:rPr>
          <w:rStyle w:val="StrongEmphasis"/>
          <w:rFonts w:cs="Roboto;Helvetica;sans-serif"/>
          <w:b w:val="false"/>
          <w:bCs w:val="false"/>
          <w:iCs w:val="false"/>
          <w:caps w:val="false"/>
          <w:smallCaps w:val="false"/>
          <w:color w:val="000000"/>
          <w:spacing w:val="0"/>
          <w:szCs w:val="21"/>
        </w:rPr>
        <w:t>(This schema set have become)</w:t>
      </w:r>
      <w:r>
        <w:rPr>
          <w:rStyle w:val="StrongEmphasis"/>
          <w:rFonts w:cs="Roboto;Helvetica;sans-serif"/>
          <w:b w:val="false"/>
          <w:bCs w:val="false"/>
          <w:iCs w:val="false"/>
          <w:caps w:val="false"/>
          <w:smallCaps w:val="false"/>
          <w:color w:val="666666"/>
          <w:spacing w:val="0"/>
          <w:szCs w:val="21"/>
        </w:rPr>
        <w:t xml:space="preserve"> .</w:t>
      </w:r>
      <w:r>
        <w:rPr>
          <w:rStyle w:val="StrongEmphasis"/>
          <w:rFonts w:cs="Times New Roman"/>
          <w:b w:val="false"/>
          <w:bCs w:val="false"/>
        </w:rPr>
        <w:t xml:space="preserve"> This type of structure is repeated at 45 minutes to 45 minutes and 35 seconds. In this case, a coordinate structure is formed between two clauses where the overt conjunct predicate is a predicate from Hindi varieties and one of the coordinated clausal structures is constructed according to the constructional schemas of English varieties while the other is built from the constructional schemas of Hindi varieties.  ‘Basically schemas are set </w:t>
      </w:r>
      <w:r>
        <w:rPr>
          <w:rStyle w:val="StrongEmphasis"/>
          <w:rFonts w:ascii="Times New Roman" w:hAnsi="Times New Roman" w:cs="Roboto;Helvetica;sans-serif"/>
          <w:b w:val="false"/>
          <w:b w:val="false"/>
          <w:bCs w:val="false"/>
          <w:iCs w:val="false"/>
          <w:caps w:val="false"/>
          <w:smallCaps w:val="false"/>
          <w:color w:val="000000"/>
          <w:spacing w:val="0"/>
          <w:szCs w:val="21"/>
        </w:rPr>
        <w:t xml:space="preserve">और वो </w:t>
      </w:r>
      <w:r>
        <w:rPr>
          <w:rStyle w:val="StrongEmphasis"/>
          <w:rFonts w:cs="Roboto;Helvetica;sans-serif"/>
          <w:b w:val="false"/>
          <w:bCs w:val="false"/>
          <w:iCs w:val="false"/>
          <w:caps w:val="false"/>
          <w:smallCaps w:val="false"/>
          <w:color w:val="000000"/>
          <w:spacing w:val="0"/>
          <w:szCs w:val="21"/>
        </w:rPr>
        <w:t xml:space="preserve">unconsciously operate </w:t>
      </w:r>
      <w:r>
        <w:rPr>
          <w:rStyle w:val="StrongEmphasis"/>
          <w:rFonts w:ascii="Times New Roman" w:hAnsi="Times New Roman" w:cs="Roboto;Helvetica;sans-serif"/>
          <w:b w:val="false"/>
          <w:b w:val="false"/>
          <w:bCs w:val="false"/>
          <w:iCs w:val="false"/>
          <w:caps w:val="false"/>
          <w:smallCaps w:val="false"/>
          <w:color w:val="000000"/>
          <w:spacing w:val="0"/>
          <w:szCs w:val="21"/>
        </w:rPr>
        <w:t>कर रहे है</w:t>
      </w:r>
      <w:r>
        <w:rPr>
          <w:rStyle w:val="StrongEmphasis"/>
          <w:rFonts w:cs="Times New Roman"/>
          <w:b w:val="false"/>
          <w:bCs w:val="false"/>
          <w:iCs w:val="false"/>
          <w:caps w:val="false"/>
          <w:smallCaps w:val="false"/>
          <w:color w:val="000000"/>
          <w:spacing w:val="0"/>
          <w:szCs w:val="21"/>
        </w:rPr>
        <w:t>' (and they unconsciously operate doing is). The Hindi auxiliary verbalizer allows the lexical verb to be from within the structural inventory of canonical English varieties along with the adverb while the constructional schema of Hindi remains intact.</w:t>
      </w:r>
    </w:p>
    <w:p>
      <w:pPr>
        <w:pStyle w:val="Normal"/>
        <w:spacing w:lineRule="auto" w:line="276" w:before="0" w:after="0"/>
        <w:ind w:left="0" w:right="0" w:hanging="0"/>
        <w:jc w:val="both"/>
        <w:rPr/>
      </w:pPr>
      <w:r>
        <w:rPr>
          <w:rStyle w:val="StrongEmphasis"/>
          <w:rFonts w:cs="Times New Roman"/>
          <w:b w:val="false"/>
          <w:bCs w:val="false"/>
          <w:iCs w:val="false"/>
          <w:caps w:val="false"/>
          <w:smallCaps w:val="false"/>
          <w:color w:val="000000"/>
          <w:spacing w:val="0"/>
          <w:szCs w:val="21"/>
        </w:rPr>
        <w:t>At 21 minutes and 55 seconds the instructor codes ‘huge web of interconnected associations’.The topic in the conceptual substrate at this level of discourse structure is ability ‘to remember or recall information’(21:55). The composite ‘a common relation’ or ‘a common relation’ is never coded by the instructor throughout the instructional period.</w:t>
      </w:r>
    </w:p>
    <w:p>
      <w:pPr>
        <w:pStyle w:val="Normal"/>
        <w:spacing w:lineRule="auto" w:line="276" w:before="0" w:after="0"/>
        <w:ind w:left="0" w:right="0" w:hanging="0"/>
        <w:jc w:val="both"/>
        <w:rPr>
          <w:rStyle w:val="StrongEmphasis"/>
          <w:rFonts w:ascii="Times New Roman" w:hAnsi="Times New Roman" w:cs="Times New Roman"/>
          <w:b w:val="false"/>
          <w:b w:val="false"/>
          <w:bCs w:val="false"/>
          <w:iCs w:val="false"/>
          <w:caps w:val="false"/>
          <w:smallCaps w:val="false"/>
          <w:color w:val="000000"/>
          <w:spacing w:val="0"/>
          <w:szCs w:val="21"/>
        </w:rPr>
      </w:pPr>
      <w:r>
        <w:rPr>
          <w:rFonts w:cs="Times New Roman"/>
          <w:b w:val="false"/>
          <w:bCs w:val="false"/>
          <w:iCs w:val="false"/>
          <w:caps w:val="false"/>
          <w:smallCaps w:val="false"/>
          <w:color w:val="000000"/>
          <w:spacing w:val="0"/>
          <w:szCs w:val="21"/>
        </w:rPr>
      </w:r>
    </w:p>
    <w:p>
      <w:pPr>
        <w:pStyle w:val="Normal"/>
        <w:spacing w:lineRule="auto" w:line="276" w:before="0" w:after="0"/>
        <w:ind w:left="0" w:right="0" w:hanging="0"/>
        <w:jc w:val="both"/>
        <w:rPr/>
      </w:pPr>
      <w:r>
        <w:rPr>
          <w:rStyle w:val="StrongEmphasis"/>
          <w:rFonts w:cs="Times New Roman"/>
          <w:b w:val="false"/>
          <w:bCs w:val="false"/>
          <w:iCs w:val="false"/>
          <w:caps w:val="false"/>
          <w:smallCaps w:val="false"/>
          <w:color w:val="000000"/>
          <w:spacing w:val="0"/>
          <w:szCs w:val="21"/>
        </w:rPr>
        <w:t>The instructor elaborates ‘schemas’ at the 37th minute and 13 seconds. The coded structure is ‘cluster of knowledge in semantic memory giving context or understanding of it’. This structure is repeated at the 38th minute and 23</w:t>
      </w:r>
      <w:r>
        <w:rPr>
          <w:rStyle w:val="StrongEmphasis"/>
          <w:rFonts w:cs="Times New Roman"/>
          <w:b w:val="false"/>
          <w:bCs w:val="false"/>
          <w:iCs w:val="false"/>
          <w:caps w:val="false"/>
          <w:smallCaps w:val="false"/>
          <w:color w:val="000000"/>
          <w:spacing w:val="0"/>
          <w:szCs w:val="21"/>
          <w:vertAlign w:val="superscript"/>
        </w:rPr>
        <w:t>rd</w:t>
      </w:r>
      <w:r>
        <w:rPr>
          <w:rStyle w:val="StrongEmphasis"/>
          <w:rFonts w:cs="Times New Roman"/>
          <w:b w:val="false"/>
          <w:bCs w:val="false"/>
          <w:iCs w:val="false"/>
          <w:caps w:val="false"/>
          <w:smallCaps w:val="false"/>
          <w:color w:val="000000"/>
          <w:spacing w:val="0"/>
          <w:szCs w:val="21"/>
        </w:rPr>
        <w:t xml:space="preserve"> second . Schema is elaborated between the 37th minute and 13th second and 46 minute and 57th second approximately before the topic in the conceptual substrate changes to ‘storage capacity’ of the brain. </w:t>
      </w:r>
    </w:p>
    <w:p>
      <w:pPr>
        <w:pStyle w:val="Normal"/>
        <w:spacing w:lineRule="auto" w:line="276" w:before="0" w:after="0"/>
        <w:ind w:left="0" w:right="0" w:hanging="0"/>
        <w:jc w:val="both"/>
        <w:rPr/>
      </w:pPr>
      <w:r>
        <w:rPr>
          <w:rStyle w:val="StrongEmphasis"/>
          <w:rFonts w:cs="Times New Roman"/>
          <w:b w:val="false"/>
          <w:bCs w:val="false"/>
          <w:iCs w:val="false"/>
          <w:caps w:val="false"/>
          <w:smallCaps w:val="false"/>
          <w:color w:val="000000"/>
          <w:spacing w:val="0"/>
          <w:szCs w:val="21"/>
        </w:rPr>
        <w:t>The standard definitions of ‘cluster’ by dictionaries commonly followed by institutions in India</w:t>
      </w:r>
    </w:p>
    <w:p>
      <w:pPr>
        <w:pStyle w:val="Normal"/>
        <w:spacing w:lineRule="auto" w:line="276" w:before="0" w:after="0"/>
        <w:ind w:left="0" w:right="0" w:hanging="0"/>
        <w:jc w:val="both"/>
        <w:rPr/>
      </w:pPr>
      <w:r>
        <w:rPr>
          <w:rStyle w:val="StrongEmphasis"/>
          <w:rFonts w:cs="Times New Roman"/>
          <w:b w:val="false"/>
          <w:bCs w:val="false"/>
          <w:iCs w:val="false"/>
          <w:caps w:val="false"/>
          <w:smallCaps w:val="false"/>
          <w:color w:val="000000"/>
          <w:spacing w:val="0"/>
          <w:szCs w:val="21"/>
        </w:rPr>
        <w:t xml:space="preserve"> </w:t>
      </w:r>
      <w:r>
        <w:rPr>
          <w:rStyle w:val="Emphasis"/>
          <w:rFonts w:cs="Times New Roman"/>
          <w:b w:val="false"/>
          <w:bCs w:val="false"/>
          <w:caps w:val="false"/>
          <w:smallCaps w:val="false"/>
          <w:color w:val="000000"/>
          <w:spacing w:val="0"/>
          <w:szCs w:val="21"/>
        </w:rPr>
        <w:t>A group of things of the same type that grow or appear close together.</w:t>
      </w:r>
      <w:r>
        <w:rPr>
          <w:rStyle w:val="StrongEmphasis"/>
          <w:rFonts w:cs="Times New Roman"/>
          <w:b w:val="false"/>
          <w:bCs w:val="false"/>
          <w:iCs w:val="false"/>
          <w:caps w:val="false"/>
          <w:smallCaps w:val="false"/>
          <w:color w:val="000000"/>
          <w:spacing w:val="0"/>
          <w:szCs w:val="21"/>
        </w:rPr>
        <w:t xml:space="preserve"> </w:t>
      </w:r>
    </w:p>
    <w:p>
      <w:pPr>
        <w:pStyle w:val="TextBody"/>
        <w:numPr>
          <w:ilvl w:val="1"/>
          <w:numId w:val="4"/>
        </w:numPr>
        <w:tabs>
          <w:tab w:val="clear" w:pos="709"/>
          <w:tab w:val="left" w:pos="2828" w:leader="none"/>
        </w:tabs>
        <w:spacing w:lineRule="auto" w:line="276" w:before="0" w:after="0"/>
        <w:ind w:left="1414" w:hanging="283"/>
        <w:jc w:val="both"/>
        <w:rPr/>
      </w:pPr>
      <w:r>
        <w:rPr/>
        <w:t xml:space="preserve">Example: </w:t>
      </w:r>
      <w:r>
        <w:rPr>
          <w:rStyle w:val="Emphasis"/>
        </w:rPr>
        <w:t>The telescope is focused on a dense cluster of stars at the edge of the galaxy.</w:t>
      </w:r>
      <w:r>
        <w:rPr/>
        <w:t xml:space="preserve"> </w:t>
      </w:r>
    </w:p>
    <w:p>
      <w:pPr>
        <w:pStyle w:val="TextBody"/>
        <w:numPr>
          <w:ilvl w:val="0"/>
          <w:numId w:val="4"/>
        </w:numPr>
        <w:tabs>
          <w:tab w:val="clear" w:pos="709"/>
          <w:tab w:val="left" w:pos="1414" w:leader="none"/>
        </w:tabs>
        <w:spacing w:lineRule="auto" w:line="276" w:before="0" w:after="0"/>
        <w:ind w:left="707" w:hanging="283"/>
        <w:jc w:val="both"/>
        <w:rPr/>
      </w:pPr>
      <w:r>
        <w:rPr>
          <w:rStyle w:val="Emphasis"/>
        </w:rPr>
        <w:t>A group of people, animals, or things close together.</w:t>
      </w:r>
      <w:r>
        <w:rPr/>
        <w:t xml:space="preserve"> </w:t>
      </w:r>
    </w:p>
    <w:p>
      <w:pPr>
        <w:pStyle w:val="TextBody"/>
        <w:numPr>
          <w:ilvl w:val="1"/>
          <w:numId w:val="4"/>
        </w:numPr>
        <w:tabs>
          <w:tab w:val="clear" w:pos="709"/>
          <w:tab w:val="left" w:pos="2828" w:leader="none"/>
        </w:tabs>
        <w:spacing w:lineRule="auto" w:line="276"/>
        <w:ind w:left="1414" w:hanging="283"/>
        <w:jc w:val="both"/>
        <w:rPr/>
      </w:pPr>
      <w:r>
        <w:rPr/>
        <w:t xml:space="preserve">Example: </w:t>
      </w:r>
      <w:r>
        <w:rPr>
          <w:rStyle w:val="Emphasis"/>
        </w:rPr>
        <w:t>A cluster of spectators.</w:t>
      </w:r>
      <w:r>
        <w:rPr/>
        <w:t xml:space="preserve"> (Oxford University Press, n.d.)</w:t>
      </w:r>
    </w:p>
    <w:p>
      <w:pPr>
        <w:pStyle w:val="TextBody"/>
        <w:spacing w:lineRule="auto" w:line="276"/>
        <w:jc w:val="both"/>
        <w:rPr/>
      </w:pPr>
      <w:r>
        <w:rPr/>
      </w:r>
    </w:p>
    <w:p>
      <w:pPr>
        <w:pStyle w:val="TextBody"/>
        <w:spacing w:lineRule="auto" w:line="276"/>
        <w:jc w:val="both"/>
        <w:rPr/>
      </w:pPr>
      <w:r>
        <w:rPr>
          <w:rStyle w:val="StrongEmphasis"/>
          <w:b w:val="false"/>
          <w:bCs w:val="false"/>
        </w:rPr>
        <w:t>Cluster (noun)</w:t>
      </w:r>
    </w:p>
    <w:p>
      <w:pPr>
        <w:pStyle w:val="TextBody"/>
        <w:numPr>
          <w:ilvl w:val="0"/>
          <w:numId w:val="5"/>
        </w:numPr>
        <w:tabs>
          <w:tab w:val="clear" w:pos="709"/>
          <w:tab w:val="left" w:pos="1414" w:leader="none"/>
        </w:tabs>
        <w:spacing w:lineRule="auto" w:line="276"/>
        <w:ind w:left="707" w:hanging="283"/>
        <w:jc w:val="both"/>
        <w:rPr/>
      </w:pPr>
      <w:r>
        <w:rPr>
          <w:rStyle w:val="Emphasis"/>
        </w:rPr>
        <w:t>A number of similar things that occur together</w:t>
      </w:r>
      <w:r>
        <w:rPr/>
        <w:t xml:space="preserve">, such as: </w:t>
      </w:r>
    </w:p>
    <w:p>
      <w:pPr>
        <w:pStyle w:val="TextBody"/>
        <w:numPr>
          <w:ilvl w:val="0"/>
          <w:numId w:val="6"/>
        </w:numPr>
        <w:tabs>
          <w:tab w:val="clear" w:pos="709"/>
          <w:tab w:val="left" w:pos="1414" w:leader="none"/>
        </w:tabs>
        <w:spacing w:lineRule="auto" w:line="276" w:before="0" w:after="0"/>
        <w:ind w:left="707" w:hanging="283"/>
        <w:jc w:val="both"/>
        <w:rPr/>
      </w:pPr>
      <w:r>
        <w:rPr/>
        <w:t xml:space="preserve">A group of buildings or houses close together. </w:t>
      </w:r>
    </w:p>
    <w:p>
      <w:pPr>
        <w:pStyle w:val="TextBody"/>
        <w:numPr>
          <w:ilvl w:val="0"/>
          <w:numId w:val="6"/>
        </w:numPr>
        <w:tabs>
          <w:tab w:val="clear" w:pos="709"/>
          <w:tab w:val="left" w:pos="1414" w:leader="none"/>
        </w:tabs>
        <w:spacing w:lineRule="auto" w:line="276" w:before="0" w:after="0"/>
        <w:ind w:left="707" w:hanging="283"/>
        <w:jc w:val="both"/>
        <w:rPr/>
      </w:pPr>
      <w:r>
        <w:rPr/>
        <w:t xml:space="preserve">An aggregation of stars or galaxies. </w:t>
      </w:r>
    </w:p>
    <w:p>
      <w:pPr>
        <w:pStyle w:val="TextBody"/>
        <w:numPr>
          <w:ilvl w:val="0"/>
          <w:numId w:val="6"/>
        </w:numPr>
        <w:tabs>
          <w:tab w:val="clear" w:pos="709"/>
          <w:tab w:val="left" w:pos="1414" w:leader="none"/>
        </w:tabs>
        <w:spacing w:lineRule="auto" w:line="276" w:before="0" w:after="0"/>
        <w:ind w:left="707" w:hanging="283"/>
        <w:jc w:val="both"/>
        <w:rPr/>
      </w:pPr>
      <w:r>
        <w:rPr/>
        <w:t xml:space="preserve">A larger-than-expected number of disease cases in a specific area. </w:t>
      </w:r>
    </w:p>
    <w:p>
      <w:pPr>
        <w:pStyle w:val="TextBody"/>
        <w:numPr>
          <w:ilvl w:val="0"/>
          <w:numId w:val="6"/>
        </w:numPr>
        <w:tabs>
          <w:tab w:val="clear" w:pos="709"/>
          <w:tab w:val="left" w:pos="1414" w:leader="none"/>
        </w:tabs>
        <w:spacing w:lineRule="auto" w:line="276" w:before="0" w:after="0"/>
        <w:ind w:left="707" w:hanging="283"/>
        <w:jc w:val="both"/>
        <w:rPr/>
      </w:pPr>
      <w:r>
        <w:rPr/>
        <w:t xml:space="preserve">A group of computers networked to function as one system. </w:t>
      </w:r>
    </w:p>
    <w:p>
      <w:pPr>
        <w:pStyle w:val="TextBody"/>
        <w:numPr>
          <w:ilvl w:val="0"/>
          <w:numId w:val="6"/>
        </w:numPr>
        <w:tabs>
          <w:tab w:val="clear" w:pos="709"/>
          <w:tab w:val="left" w:pos="1414" w:leader="none"/>
        </w:tabs>
        <w:spacing w:lineRule="auto" w:line="276"/>
        <w:ind w:left="707" w:hanging="283"/>
        <w:jc w:val="both"/>
        <w:rPr/>
      </w:pPr>
      <w:r>
        <w:rPr/>
        <w:t xml:space="preserve">A group of consonants or vowels pronounced together. </w:t>
      </w:r>
    </w:p>
    <w:p>
      <w:pPr>
        <w:pStyle w:val="TextBody"/>
        <w:spacing w:lineRule="auto" w:line="276"/>
        <w:jc w:val="both"/>
        <w:rPr/>
      </w:pPr>
      <w:r>
        <w:rPr>
          <w:rStyle w:val="StrongEmphasis"/>
          <w:b w:val="false"/>
          <w:bCs w:val="false"/>
        </w:rPr>
        <w:t>Cluster (verb)</w:t>
      </w:r>
    </w:p>
    <w:p>
      <w:pPr>
        <w:pStyle w:val="TextBody"/>
        <w:numPr>
          <w:ilvl w:val="0"/>
          <w:numId w:val="7"/>
        </w:numPr>
        <w:tabs>
          <w:tab w:val="clear" w:pos="709"/>
          <w:tab w:val="left" w:pos="1414" w:leader="none"/>
        </w:tabs>
        <w:spacing w:lineRule="auto" w:line="276" w:before="0" w:after="0"/>
        <w:ind w:left="707" w:hanging="283"/>
        <w:jc w:val="both"/>
        <w:rPr/>
      </w:pPr>
      <w:r>
        <w:rPr>
          <w:rStyle w:val="Emphasis"/>
        </w:rPr>
        <w:t>To collect into a cluster or clusters.</w:t>
      </w:r>
      <w:r>
        <w:rPr/>
        <w:t xml:space="preserve"> </w:t>
      </w:r>
    </w:p>
    <w:p>
      <w:pPr>
        <w:pStyle w:val="TextBody"/>
        <w:numPr>
          <w:ilvl w:val="1"/>
          <w:numId w:val="7"/>
        </w:numPr>
        <w:tabs>
          <w:tab w:val="clear" w:pos="709"/>
          <w:tab w:val="left" w:pos="2828" w:leader="none"/>
        </w:tabs>
        <w:spacing w:lineRule="auto" w:line="276" w:before="0" w:after="0"/>
        <w:ind w:left="1414" w:hanging="283"/>
        <w:jc w:val="both"/>
        <w:rPr/>
      </w:pPr>
      <w:r>
        <w:rPr/>
        <w:t xml:space="preserve">Example: </w:t>
      </w:r>
      <w:r>
        <w:rPr>
          <w:rStyle w:val="Emphasis"/>
        </w:rPr>
        <w:t>The children clustered around the storyteller.</w:t>
      </w:r>
      <w:r>
        <w:rPr/>
        <w:t xml:space="preserve"> </w:t>
      </w:r>
    </w:p>
    <w:p>
      <w:pPr>
        <w:pStyle w:val="TextBody"/>
        <w:numPr>
          <w:ilvl w:val="0"/>
          <w:numId w:val="7"/>
        </w:numPr>
        <w:tabs>
          <w:tab w:val="clear" w:pos="709"/>
          <w:tab w:val="left" w:pos="1414" w:leader="none"/>
        </w:tabs>
        <w:spacing w:lineRule="auto" w:line="276"/>
        <w:ind w:left="707" w:hanging="283"/>
        <w:jc w:val="both"/>
        <w:rPr/>
      </w:pPr>
      <w:r>
        <w:rPr>
          <w:rStyle w:val="Emphasis"/>
        </w:rPr>
        <w:t>To grow, assemble, or occur in a cluster.</w:t>
      </w:r>
      <w:r>
        <w:rPr/>
        <w:t xml:space="preserve"> (Merriam-Webster, n.d.)</w:t>
      </w:r>
    </w:p>
    <w:p>
      <w:pPr>
        <w:pStyle w:val="TextBody"/>
        <w:spacing w:lineRule="auto" w:line="276"/>
        <w:jc w:val="both"/>
        <w:rPr/>
      </w:pPr>
      <w:r>
        <w:rPr/>
      </w:r>
    </w:p>
    <w:p>
      <w:pPr>
        <w:pStyle w:val="TextBody"/>
        <w:spacing w:lineRule="auto" w:line="276"/>
        <w:jc w:val="both"/>
        <w:rPr/>
      </w:pPr>
      <w:r>
        <w:rPr/>
        <w:t xml:space="preserve">The instructor also does not, within </w:t>
      </w:r>
      <w:r>
        <w:rPr>
          <w:rStyle w:val="StrongEmphasis"/>
          <w:rFonts w:cs="Times New Roman"/>
          <w:b w:val="false"/>
          <w:bCs w:val="false"/>
          <w:iCs w:val="false"/>
          <w:caps w:val="false"/>
          <w:smallCaps w:val="false"/>
          <w:color w:val="000000"/>
          <w:spacing w:val="0"/>
          <w:szCs w:val="21"/>
        </w:rPr>
        <w:t xml:space="preserve">the 37th minute and 13th second and 46 minute and 57th second, refer to ‘schemas’ as aiding any temporal relation done by an active participant in the source domain to be ‘better’; whether within the attentional windows where the predicate is defined or the subsequent attentional windows within which the concept is elaborated. </w:t>
      </w:r>
    </w:p>
    <w:p>
      <w:pPr>
        <w:pStyle w:val="TextBody"/>
        <w:spacing w:lineRule="auto" w:line="276"/>
        <w:jc w:val="both"/>
        <w:rPr/>
      </w:pPr>
      <w:r>
        <w:rPr>
          <w:rStyle w:val="StrongEmphasis"/>
          <w:rFonts w:cs="Times New Roman"/>
          <w:b w:val="false"/>
          <w:bCs w:val="false"/>
          <w:iCs w:val="false"/>
          <w:caps w:val="false"/>
          <w:smallCaps w:val="false"/>
          <w:color w:val="000000"/>
          <w:spacing w:val="0"/>
          <w:szCs w:val="21"/>
        </w:rPr>
        <w:t xml:space="preserve">Once the following interrogative by the interviewer asks the student, for an elaboration for the structure ‘set of memories that’, the respondent repeats with ‘That you often associate together and (constructional effort) group it into maybe one set like(constructional effort) for example sir told like (constructional effort) cake, balloons and candles might remind me of some birthday or some celebration’. </w:t>
      </w:r>
    </w:p>
    <w:p>
      <w:pPr>
        <w:pStyle w:val="TextBody"/>
        <w:spacing w:lineRule="auto" w:line="276"/>
        <w:jc w:val="both"/>
        <w:rPr/>
      </w:pPr>
      <w:r>
        <w:rPr>
          <w:rStyle w:val="StrongEmphasis"/>
          <w:rFonts w:cs="Times New Roman"/>
          <w:b w:val="false"/>
          <w:bCs w:val="false"/>
          <w:iCs w:val="false"/>
          <w:caps w:val="false"/>
          <w:smallCaps w:val="false"/>
          <w:color w:val="000000"/>
          <w:spacing w:val="0"/>
          <w:szCs w:val="21"/>
        </w:rPr>
        <w:t xml:space="preserve">The instructional period being referred to is between 37th minute 29 seconds and 38 minutes and 8 seconds. Between this time there is no coding of the predicates ‘reminding’ or any conventionally related predicate like ‘recall’ or ‘memory’. The instructor codes ‘I am giving you three words’   And uses three separate attentional windows to code three words without specifying any grammatical  linking structure between them. This is a marked type of coding for juxtaposed nouns with respect to both structured inventories of English varieties and Hindi varieties. However, it is not marked coding for Malayalam. The predicate ‘remind’ is conventionally and standardly related to the predicate ‘memory’ through the structured inventory of English varieties. </w:t>
      </w:r>
    </w:p>
    <w:p>
      <w:pPr>
        <w:pStyle w:val="TextBody"/>
        <w:spacing w:lineRule="auto" w:line="276"/>
        <w:jc w:val="both"/>
        <w:rPr/>
      </w:pPr>
      <w:r>
        <w:rPr>
          <w:rStyle w:val="StrongEmphasis"/>
          <w:rFonts w:cs="Times New Roman"/>
          <w:b w:val="false"/>
          <w:bCs w:val="false"/>
          <w:iCs w:val="false"/>
          <w:caps w:val="false"/>
          <w:smallCaps w:val="false"/>
          <w:color w:val="000000"/>
          <w:spacing w:val="0"/>
          <w:szCs w:val="21"/>
        </w:rPr>
        <w:t>For the elaboration of phonological loop the respondent codes ‘you associate sounds with some words or some memories’. The predicate phonological loop is mentioned by the instructor at 11 minutes and 3 seconds but only metalinguistically as a topic and a part of discourse structure.  It is elaborated at 13 minutes and 56 seconds where the predicate ‘phonological loop’ is present within a coordinate structure with the predicate ‘accoustic coding’  with an overt disjunct predicate, ‘or’. It is elaborated until the 14th minute and 42</w:t>
      </w:r>
      <w:r>
        <w:rPr>
          <w:rStyle w:val="StrongEmphasis"/>
          <w:rFonts w:cs="Times New Roman"/>
          <w:b w:val="false"/>
          <w:bCs w:val="false"/>
          <w:iCs w:val="false"/>
          <w:caps w:val="false"/>
          <w:smallCaps w:val="false"/>
          <w:color w:val="000000"/>
          <w:spacing w:val="0"/>
          <w:szCs w:val="21"/>
          <w:vertAlign w:val="superscript"/>
        </w:rPr>
        <w:t>nd</w:t>
      </w:r>
      <w:r>
        <w:rPr>
          <w:rStyle w:val="StrongEmphasis"/>
          <w:rFonts w:cs="Times New Roman"/>
          <w:b w:val="false"/>
          <w:bCs w:val="false"/>
          <w:iCs w:val="false"/>
          <w:caps w:val="false"/>
          <w:smallCaps w:val="false"/>
          <w:color w:val="000000"/>
          <w:spacing w:val="0"/>
          <w:szCs w:val="21"/>
        </w:rPr>
        <w:t xml:space="preserve"> second. The predicate ‘sound’ appears in the 14th minute and 17th second as an arbitrary instance with respect to the maximal extension within an imperfective relation situated proximal to current ground and located in ‘mind’ which is situated, as target’ within the dominion of second person plural as RP. The maximally schematic temporal location ‘when’ situates the event where first person plural is associated with an arbitrary instance of the predicate ‘particular paper’, with respect to the maximal extension, through the temporal relation ‘read’.  The predicate ‘particular paper’ is embedded in a coordinate structure where the noun ‘certain words’ and the overt disjunct predicate, ‘or’ is separately coded in a subsequent attentional window. The following attentional window situates another event occupying the same temporal location as the maximally specific schematic temporal rotation location ‘when’ as specified by the predicate simultaneously  wherein a passive structure is used to designate the thematic participant ‘sound’ to be created within the location mind with a defocused agent.</w:t>
      </w:r>
    </w:p>
    <w:p>
      <w:pPr>
        <w:pStyle w:val="TextBody"/>
        <w:spacing w:lineRule="auto" w:line="276"/>
        <w:jc w:val="both"/>
        <w:rPr/>
      </w:pPr>
      <w:r>
        <w:rPr>
          <w:rStyle w:val="StrongEmphasis"/>
          <w:rFonts w:cs="Times New Roman"/>
          <w:b w:val="false"/>
          <w:bCs w:val="false"/>
          <w:iCs w:val="false"/>
          <w:caps w:val="false"/>
          <w:smallCaps w:val="false"/>
          <w:color w:val="000000"/>
          <w:spacing w:val="0"/>
          <w:szCs w:val="21"/>
        </w:rPr>
        <w:t>When the interviewer asks the respondent to elaborate the difference between episodic memory and semantic memory, the respondent codes, ‘Semantic is when you use words to associate the memory’ and ‘Episode was more like some event or something  and you remember details about it like that and the people that were associated with it and like a brief idea of what happened yeah that was episodic and semantic is like I said you associate with some words’.</w:t>
      </w:r>
    </w:p>
    <w:p>
      <w:pPr>
        <w:pStyle w:val="TextBody"/>
        <w:spacing w:lineRule="auto" w:line="276"/>
        <w:jc w:val="both"/>
        <w:rPr/>
      </w:pPr>
      <w:r>
        <w:rPr>
          <w:rStyle w:val="StrongEmphasis"/>
          <w:rFonts w:cs="Times New Roman"/>
          <w:b w:val="false"/>
          <w:bCs w:val="false"/>
          <w:iCs w:val="false"/>
          <w:caps w:val="false"/>
          <w:smallCaps w:val="false"/>
          <w:color w:val="000000"/>
          <w:spacing w:val="0"/>
          <w:szCs w:val="21"/>
        </w:rPr>
        <w:t xml:space="preserve">The instructor uses the predicate ‘semantic’ to categorise a usage event at 11 minutes and three seconds. It is used to metalinguistically refer to the structure of the discourse wherein this predicate is used to characterise a topic as a section the specific discourse.  This predicate is used at 13 minutes and 59 seconds as a modifier to the noun ‘information’ where in an unmodified instance ‘information’ has an association inclusion relation of ‘conversion’ with ‘semantic information’ such that the unmodified instance undergoes internal change.  The clause is ungrounded within the attentional window since it serves to elaborate the coordinate structure nominal ‘acoustic coding or the phonological loop’ of the previous attentional window. This predicate is also used in Subsequent attentional window As a modifier of the noun information where the modified instance undergoes internal change into the modified instance ‘sound patterns’ within the location ‘working memory’. At 29th minute and 39th second the modified instance semantic memory is elaborated in the previous attentional window as the predicate composite ‘knowing what’. In the attentional window following the next attention window; the predicate semantic is elaborated as ‘semantic means words’ ‘using words’. While this belongs to a single window of attention delimited by the placement of pauses, the clausal structure and verb object composite form separate attentional windows due to intonational grouping.  At 29 minutes and 57 seconds the predicate ‘semantic’ is coded within a single window of attention to create an association inclusion relation between two verb object composites ‘using words’ and ‘semantic value’. In the following attentional window This is elaborated by the first person plural associated with the noun ‘words’ through the temporal relation ‘use’ where the event is situated in proximity to current ground. </w:t>
      </w:r>
    </w:p>
    <w:p>
      <w:pPr>
        <w:pStyle w:val="TextBody"/>
        <w:spacing w:lineRule="auto" w:line="276"/>
        <w:jc w:val="both"/>
        <w:rPr/>
      </w:pPr>
      <w:r>
        <w:rPr>
          <w:rStyle w:val="StrongEmphasis"/>
          <w:rFonts w:cs="Times New Roman"/>
          <w:b w:val="false"/>
          <w:bCs w:val="false"/>
          <w:iCs w:val="false"/>
          <w:caps w:val="false"/>
          <w:smallCaps w:val="false"/>
          <w:color w:val="000000"/>
          <w:spacing w:val="0"/>
          <w:szCs w:val="21"/>
        </w:rPr>
        <w:t xml:space="preserve">At 30 minutes and 5 seconds, the predicate episodic memory has identity inclusion relation with nominal part of declarative memory grounded with the relative indefinite quantifier ‘another’ referring to maximal extension, with respect to the previously coded structures forming systemic context in current discourse space. At the 34th minute and 17th second ‘episodic memory’ is construed as a location such that the target Memories grounded by </w:t>
      </w:r>
      <w:r>
        <w:rPr>
          <w:rStyle w:val="StrongEmphasis"/>
          <w:rFonts w:ascii="Times New Roman" w:hAnsi="Times New Roman" w:cs="Times New Roman"/>
          <w:b w:val="false"/>
          <w:b w:val="false"/>
          <w:bCs w:val="false"/>
          <w:iCs w:val="false"/>
          <w:caps w:val="false"/>
          <w:smallCaps w:val="false"/>
          <w:color w:val="000000"/>
          <w:spacing w:val="0"/>
          <w:sz w:val="24"/>
          <w:sz w:val="24"/>
          <w:szCs w:val="24"/>
        </w:rPr>
        <w:t xml:space="preserve">जितने भी </w:t>
      </w:r>
      <w:r>
        <w:rPr>
          <w:rStyle w:val="StrongEmphasis"/>
          <w:rFonts w:cs="Times New Roman"/>
          <w:b w:val="false"/>
          <w:bCs w:val="false"/>
          <w:iCs w:val="false"/>
          <w:caps w:val="false"/>
          <w:smallCaps w:val="false"/>
          <w:color w:val="000000"/>
          <w:spacing w:val="0"/>
          <w:sz w:val="24"/>
          <w:szCs w:val="24"/>
        </w:rPr>
        <w:t>(as many as) referring to the maximal extension of instances located and bounded within the specified location. The distal deictic '</w:t>
      </w:r>
      <w:r>
        <w:rPr>
          <w:rStyle w:val="StrongEmphasis"/>
          <w:rFonts w:ascii="Times New Roman" w:hAnsi="Times New Roman" w:cs="Times New Roman"/>
          <w:b w:val="false"/>
          <w:b w:val="false"/>
          <w:bCs w:val="false"/>
          <w:iCs w:val="false"/>
          <w:caps w:val="false"/>
          <w:smallCaps w:val="false"/>
          <w:color w:val="000000"/>
          <w:spacing w:val="0"/>
          <w:sz w:val="24"/>
          <w:sz w:val="24"/>
          <w:szCs w:val="24"/>
        </w:rPr>
        <w:t>उनकी</w:t>
      </w:r>
      <w:r>
        <w:rPr>
          <w:rStyle w:val="StrongEmphasis"/>
          <w:rFonts w:cs="Times New Roman"/>
          <w:b w:val="false"/>
          <w:bCs w:val="false"/>
          <w:iCs w:val="false"/>
          <w:caps w:val="false"/>
          <w:smallCaps w:val="false"/>
          <w:color w:val="000000"/>
          <w:spacing w:val="0"/>
          <w:sz w:val="24"/>
          <w:szCs w:val="24"/>
        </w:rPr>
        <w:t>' refers to the target in the previous clause. The nominal ‘temporal coding’ is situated as target within the dominion of RP '</w:t>
      </w:r>
      <w:r>
        <w:rPr>
          <w:rStyle w:val="StrongEmphasis"/>
          <w:rFonts w:ascii="Times New Roman" w:hAnsi="Times New Roman" w:cs="Times New Roman"/>
          <w:b w:val="false"/>
          <w:b w:val="false"/>
          <w:bCs w:val="false"/>
          <w:iCs w:val="false"/>
          <w:caps w:val="false"/>
          <w:smallCaps w:val="false"/>
          <w:color w:val="000000"/>
          <w:spacing w:val="0"/>
          <w:sz w:val="24"/>
          <w:sz w:val="24"/>
          <w:szCs w:val="24"/>
        </w:rPr>
        <w:t>उनकी</w:t>
      </w:r>
      <w:r>
        <w:rPr>
          <w:rStyle w:val="StrongEmphasis"/>
          <w:rFonts w:cs="Times New Roman"/>
          <w:b w:val="false"/>
          <w:bCs w:val="false"/>
          <w:iCs w:val="false"/>
          <w:caps w:val="false"/>
          <w:smallCaps w:val="false"/>
          <w:color w:val="000000"/>
          <w:spacing w:val="0"/>
          <w:sz w:val="24"/>
          <w:szCs w:val="24"/>
        </w:rPr>
        <w:t>'. This event is situated in proximal irreality according to the elaborated epistemic model. At 34 minutes 59 seconds the predicate is present within ‘that is why it is called as episodic memory because personally you are involved emotions are get involved that is why personal episodes get formed’. There are several international groupings within a single attentional window due to spontaneous coding.  At 36 minutes 49 seconds the schematic proximal deictic ‘this’ has identity inclusion relation with the predicate ‘episodic memory’. It referes to the previously coded structures that create systemic context in current discourse space. (Blinded source, 2023, interview data)</w:t>
      </w:r>
    </w:p>
    <w:p>
      <w:pPr>
        <w:pStyle w:val="TextBody"/>
        <w:spacing w:lineRule="auto" w:line="276"/>
        <w:jc w:val="both"/>
        <w:rPr>
          <w:rFonts w:ascii="Times New Roman" w:hAnsi="Times New Roman" w:eastAsia="Times New Roman" w:cs="Times New Roman"/>
          <w:b w:val="false"/>
          <w:b w:val="false"/>
          <w:bCs w:val="false"/>
          <w:sz w:val="24"/>
          <w:szCs w:val="24"/>
        </w:rPr>
      </w:pPr>
      <w:r>
        <w:rPr>
          <w:rFonts w:eastAsia="Times New Roman" w:cs="Times New Roman"/>
          <w:b w:val="false"/>
          <w:bCs w:val="false"/>
          <w:sz w:val="24"/>
          <w:szCs w:val="24"/>
        </w:rPr>
      </w:r>
    </w:p>
    <w:p>
      <w:pPr>
        <w:pStyle w:val="Normal"/>
        <w:spacing w:lineRule="auto" w:line="276" w:before="0" w:after="0"/>
        <w:ind w:left="0" w:right="0" w:hanging="0"/>
        <w:jc w:val="both"/>
        <w:rPr/>
      </w:pPr>
      <w:r>
        <w:rPr>
          <w:rFonts w:eastAsia="Times New Roman" w:cs="Times New Roman"/>
          <w:b/>
          <w:bCs/>
          <w:color w:val="000000"/>
          <w:sz w:val="24"/>
          <w:szCs w:val="24"/>
        </w:rPr>
        <w:t xml:space="preserve">3.4 </w:t>
      </w:r>
      <w:r>
        <w:rPr>
          <w:rFonts w:eastAsia="Times New Roman" w:cs="Times New Roman"/>
          <w:b/>
          <w:bCs/>
          <w:color w:val="000000"/>
          <w:sz w:val="24"/>
          <w:szCs w:val="24"/>
        </w:rPr>
        <w:t xml:space="preserve">Post festum analogy as a continuous structure </w:t>
      </w:r>
    </w:p>
    <w:p>
      <w:pPr>
        <w:pStyle w:val="Normal"/>
        <w:spacing w:lineRule="auto" w:line="276" w:before="0" w:after="0"/>
        <w:ind w:left="0" w:right="0" w:hanging="0"/>
        <w:jc w:val="both"/>
        <w:rPr/>
      </w:pPr>
      <w:r>
        <w:rPr>
          <w:rFonts w:eastAsia="Times New Roman" w:cs="Times New Roman"/>
          <w:b w:val="false"/>
          <w:bCs w:val="false"/>
          <w:color w:val="000000"/>
          <w:sz w:val="24"/>
          <w:szCs w:val="24"/>
        </w:rPr>
        <w:t>The coding of the predicate ‘memory’ can be attributed to the fact that it is the topic in the conceptual substrate for the whole of the instructional period and coded  95 times during the instructional period along with other standardly and conventionally associated predicates and predicate composites like '</w:t>
      </w:r>
      <w:r>
        <w:rPr>
          <w:rFonts w:ascii="Times New Roman" w:hAnsi="Times New Roman" w:eastAsia="Times New Roman" w:cs="Times New Roman"/>
          <w:b w:val="false"/>
          <w:b w:val="false"/>
          <w:bCs w:val="false"/>
          <w:color w:val="000000"/>
          <w:sz w:val="24"/>
          <w:sz w:val="24"/>
          <w:szCs w:val="24"/>
        </w:rPr>
        <w:t>याद</w:t>
      </w:r>
      <w:r>
        <w:rPr>
          <w:rFonts w:eastAsia="Times New Roman" w:cs="Times New Roman"/>
          <w:b w:val="false"/>
          <w:bCs w:val="false"/>
          <w:color w:val="000000"/>
          <w:sz w:val="24"/>
          <w:szCs w:val="24"/>
        </w:rPr>
        <w:t xml:space="preserve">', ‘Recall’ and ‘able to retrieve’(Appendix B).  </w:t>
      </w:r>
    </w:p>
    <w:p>
      <w:pPr>
        <w:pStyle w:val="Normal"/>
        <w:spacing w:lineRule="auto" w:line="276" w:before="0" w:after="0"/>
        <w:ind w:left="0" w:right="0" w:hanging="0"/>
        <w:jc w:val="both"/>
        <w:rPr/>
      </w:pPr>
      <w:r>
        <w:rPr>
          <w:rFonts w:eastAsia="Times New Roman" w:cs="Times New Roman"/>
          <w:b w:val="false"/>
          <w:bCs w:val="false"/>
          <w:color w:val="000000"/>
          <w:sz w:val="24"/>
          <w:szCs w:val="24"/>
        </w:rPr>
        <w:t xml:space="preserve">The predicate connected is used 10 times within the instructional period. The predicate ‘information’ is attributed agency several times within the current discourse space and associated with the predicate ‘memory’. At 15 minutes and 20 seconds the predicate ‘connected’ is used to associate the predicate ‘memory’ with the predicate ‘items’. At 17 minutes and 14 seconds both the predicates ‘interconnected’ and ‘associations’ are used together. These two predicates are used together again at 17 minutes and 34 seconds . At 17 minutes and 43 seconds the thematic participant ‘information’ is associated with the modified instance ‘whatever information is stored’ through the imperfective temporal relation ‘is connected with’. The predicate ‘information’ is associated with the predicate ‘connected’ at 20 minutes and 5 seconds, 21 minutes and 35 seconds, 21 minutes and 55 seconds and 22 minutes and 37 seconds. At 39 minutes and 12 seconds and 39 minutes and 18 seconds, the predicate ‘connected’ is used with ‘neurons’ as trajector. The accessing of the cake balloons and candle example can be attributed to juxtaposed attentional windows between 37 minutes and 13 seconds and 41 minutes and 29 second associated with the predicate ‘schema’ serving to elaborate it. The schematic generalisation carries over to subsequent attentional windows as topic in conceptual substrate. </w:t>
      </w:r>
    </w:p>
    <w:p>
      <w:pPr>
        <w:pStyle w:val="Normal"/>
        <w:spacing w:lineRule="auto" w:line="276" w:before="0" w:after="0"/>
        <w:ind w:left="0" w:right="0" w:hanging="0"/>
        <w:jc w:val="both"/>
        <w:rPr/>
      </w:pPr>
      <w:r>
        <w:rPr>
          <w:rFonts w:eastAsia="Times New Roman" w:cs="Times New Roman"/>
          <w:b w:val="false"/>
          <w:bCs w:val="false"/>
          <w:color w:val="000000"/>
          <w:sz w:val="24"/>
          <w:szCs w:val="24"/>
        </w:rPr>
        <w:t xml:space="preserve">Both the predicates ‘sounds’ and ‘words’ accessed for the elaboration of ‘phonological loop’ can be attributed to juxtaposed attentional windows between 14 minutes and 11 seconds And 14 minutes and 51 seconds during which the instructor elaborates ‘phonological loop’. </w:t>
      </w:r>
    </w:p>
    <w:p>
      <w:pPr>
        <w:pStyle w:val="Normal"/>
        <w:spacing w:lineRule="auto" w:line="276" w:before="0" w:after="0"/>
        <w:ind w:left="0" w:right="0" w:hanging="0"/>
        <w:jc w:val="both"/>
        <w:rPr/>
      </w:pPr>
      <w:r>
        <w:rPr>
          <w:rFonts w:eastAsia="Times New Roman" w:cs="Times New Roman"/>
          <w:b w:val="false"/>
          <w:bCs w:val="false"/>
          <w:color w:val="000000"/>
          <w:sz w:val="24"/>
          <w:szCs w:val="24"/>
        </w:rPr>
        <w:t>The predicate ‘semantic’ is associated with the predicate ‘words’ from 14 minutes and 11 seconds through juxtaposed attentional windows. This continues until the 28th minute and is reinforced by a task assigned by the instructor in which displayed words have to be remembered and the recalling of the words remain the topic in the conceptual substrate for a significant amount of time involving student participation in the discussion. A similar task is assigned to elaborate the predicate ‘episodic memory’ from 30th minute and 5 seconds where students must write down their best memories. At the 34th minute and 34th second, the predicate ‘memories’ from a previous attentional window is broken into conceptual substructures using predicates like ‘characters’ and ‘context’ and ‘situation’ in subsequent juxtaposed attentional windows. This continues until the 36th minute and 49 seconds with predicates like ‘emotions’, ‘personally involved’, ‘face’ and ‘thought about the person’ ‘</w:t>
      </w:r>
      <w:r>
        <w:rPr>
          <w:rFonts w:ascii="Times New Roman" w:hAnsi="Times New Roman" w:cs="Times New Roman"/>
          <w:bCs w:val="false"/>
          <w:iCs w:val="false"/>
          <w:caps w:val="false"/>
          <w:smallCaps w:val="false"/>
          <w:color w:val="000000"/>
          <w:spacing w:val="0"/>
          <w:szCs w:val="21"/>
        </w:rPr>
        <w:t>हुमेशा बार बार बार बार उसी के बारे में सोचना’</w:t>
      </w:r>
      <w:r>
        <w:rPr>
          <w:rFonts w:cs="Times New Roman"/>
          <w:bCs w:val="false"/>
          <w:iCs w:val="false"/>
          <w:caps w:val="false"/>
          <w:smallCaps w:val="false"/>
          <w:color w:val="000000"/>
          <w:spacing w:val="0"/>
          <w:szCs w:val="21"/>
        </w:rPr>
        <w:t>( always again again again again (distal deictic predicate) (possessive marker) about thinking)</w:t>
      </w:r>
      <w:r>
        <w:rPr>
          <w:rFonts w:eastAsia="Times New Roman" w:cs="Times New Roman"/>
          <w:b w:val="false"/>
          <w:bCs w:val="false"/>
          <w:color w:val="000000"/>
          <w:sz w:val="24"/>
          <w:szCs w:val="24"/>
        </w:rPr>
        <w:t>. At the 36th minute and 49 seconds, The composite ‘this is episodic memory’ reinforces the association by bounding the concepts within a clearly delimited time space. This does not happen with the predicate ‘semantic memory’.  (Blinded source, 2023, interview data)</w:t>
      </w:r>
    </w:p>
    <w:p>
      <w:pPr>
        <w:pStyle w:val="Normal"/>
        <w:spacing w:lineRule="auto" w:line="276" w:before="0" w:after="0"/>
        <w:ind w:left="0" w:right="0" w:hanging="0"/>
        <w:jc w:val="both"/>
        <w:rPr>
          <w:rFonts w:ascii="Times New Roman" w:hAnsi="Times New Roman" w:eastAsia="Times New Roman" w:cs="Times New Roman"/>
          <w:b w:val="false"/>
          <w:b w:val="false"/>
          <w:bCs w:val="false"/>
          <w:color w:val="000000"/>
          <w:sz w:val="24"/>
          <w:szCs w:val="24"/>
        </w:rPr>
      </w:pPr>
      <w:r>
        <w:rPr>
          <w:rFonts w:eastAsia="Times New Roman" w:cs="Times New Roman"/>
          <w:b w:val="false"/>
          <w:bCs w:val="false"/>
          <w:color w:val="000000"/>
          <w:sz w:val="24"/>
          <w:szCs w:val="24"/>
        </w:rPr>
      </w:r>
    </w:p>
    <w:p>
      <w:pPr>
        <w:pStyle w:val="Normal"/>
        <w:spacing w:lineRule="auto" w:line="276" w:before="0" w:after="0"/>
        <w:ind w:left="0" w:right="0" w:hanging="0"/>
        <w:jc w:val="both"/>
        <w:rPr>
          <w:rFonts w:ascii="Times New Roman" w:hAnsi="Times New Roman" w:eastAsia="Times New Roman" w:cs="Times New Roman"/>
          <w:b/>
          <w:b/>
          <w:bCs/>
          <w:sz w:val="24"/>
          <w:szCs w:val="24"/>
        </w:rPr>
      </w:pPr>
      <w:r>
        <w:rPr>
          <w:rFonts w:eastAsia="Times New Roman" w:cs="Times New Roman"/>
          <w:b/>
          <w:bCs/>
          <w:sz w:val="24"/>
          <w:szCs w:val="24"/>
        </w:rPr>
      </w:r>
    </w:p>
    <w:p>
      <w:pPr>
        <w:pStyle w:val="Normal"/>
        <w:spacing w:lineRule="auto" w:line="276" w:before="0" w:after="0"/>
        <w:ind w:left="0" w:right="0" w:hanging="0"/>
        <w:jc w:val="both"/>
        <w:rPr/>
      </w:pPr>
      <w:r>
        <w:rPr>
          <w:rFonts w:eastAsia="Times New Roman" w:cs="Times New Roman"/>
          <w:b/>
          <w:bCs/>
          <w:sz w:val="24"/>
          <w:szCs w:val="24"/>
        </w:rPr>
        <w:t xml:space="preserve">4 </w:t>
      </w:r>
      <w:r>
        <w:rPr>
          <w:rFonts w:eastAsia="Times New Roman" w:cs="Times New Roman"/>
          <w:b/>
          <w:bCs/>
          <w:sz w:val="24"/>
          <w:szCs w:val="24"/>
        </w:rPr>
        <w:t xml:space="preserve">Conclusions </w:t>
      </w:r>
    </w:p>
    <w:p>
      <w:pPr>
        <w:pStyle w:val="Normal"/>
        <w:spacing w:lineRule="auto" w:line="276"/>
        <w:jc w:val="both"/>
        <w:rPr/>
      </w:pPr>
      <w:r>
        <w:rPr>
          <w:b w:val="false"/>
          <w:bCs w:val="false"/>
        </w:rPr>
        <w:t>Certain expressions are considered prototypically idiomatic for speakers of certain lects. Once entrenched, they are no longer processed as analyzable such that depth perception is lost over time (Langacker, 1990, 2009). Other expressions may be considered less prototypical or marked.  The expression  ‘</w:t>
      </w:r>
      <w:r>
        <w:rPr>
          <w:rFonts w:eastAsia="Times New Roman" w:cs="Times New Roman"/>
          <w:b w:val="false"/>
          <w:bCs w:val="false"/>
          <w:sz w:val="24"/>
          <w:szCs w:val="24"/>
        </w:rPr>
        <w:t xml:space="preserve">schemas set </w:t>
      </w:r>
      <w:r>
        <w:rPr>
          <w:rStyle w:val="StrongEmphasis"/>
          <w:rFonts w:ascii="Times New Roman" w:hAnsi="Times New Roman" w:cs="Times New Roman"/>
          <w:b w:val="false"/>
          <w:b w:val="false"/>
          <w:bCs w:val="false"/>
        </w:rPr>
        <w:t>हो चुके हैं</w:t>
      </w:r>
      <w:r>
        <w:rPr>
          <w:rStyle w:val="StrongEmphasis"/>
          <w:rFonts w:cs="Times New Roman"/>
          <w:b w:val="false"/>
          <w:bCs w:val="false"/>
        </w:rPr>
        <w:t xml:space="preserve">', the value of the predicate ‘set’, would not be as ambiguous to the speakers of Hindi and english mixed lect varieties to the extent that they would be ambiguous to someone apprehending the meaning through depth perception. Granger in 2019 notes that collocations with delexical verbs such as ‘make’ or ‘have’ are especially challenging for L2 learners (Szudarski, 2023). For the speaker of the Hindi lect, the choice of the delexical verb over a content verb such as </w:t>
      </w:r>
      <w:r>
        <w:rPr>
          <w:rStyle w:val="StrongEmphasis"/>
          <w:rFonts w:ascii="Times New Roman" w:hAnsi="Times New Roman" w:cs="Times New Roman"/>
          <w:b w:val="false"/>
          <w:b w:val="false"/>
          <w:bCs w:val="false"/>
        </w:rPr>
        <w:t>बनाना</w:t>
      </w:r>
      <w:r>
        <w:rPr>
          <w:rStyle w:val="StrongEmphasis"/>
          <w:rFonts w:cs="Times New Roman"/>
          <w:b w:val="false"/>
          <w:bCs w:val="false"/>
        </w:rPr>
        <w:t xml:space="preserve">(make) would be determinative of the meaning of the predicate ‘set’. The prototypicality of this predicate composite would be more difficult to apprehend for a speaker with reduced proficiency in the variety. Centrality of certain substructures over others at the semantic pole is also determined by other factors exempli gratia the jargon of the specific discipline within which the student is being trained. </w:t>
      </w:r>
    </w:p>
    <w:p>
      <w:pPr>
        <w:pStyle w:val="TextBody"/>
        <w:spacing w:lineRule="auto" w:line="276"/>
        <w:jc w:val="both"/>
        <w:rPr>
          <w:b/>
          <w:b/>
          <w:bCs/>
        </w:rPr>
      </w:pPr>
      <w:r>
        <w:rPr>
          <w:rStyle w:val="StrongEmphasis"/>
          <w:rFonts w:cs="Times New Roman"/>
          <w:b w:val="false"/>
          <w:bCs w:val="false"/>
        </w:rPr>
        <w:t xml:space="preserve">Juxtaposition of attentional windows aid in the association of predicates. The contrast with respect to access to the predicates associated with ‘semantic memory’ and ‘episodic memory’ indicates that extent of student participation plays a role in access coupled with clearly bounded and delimited attentional windows separating the conceptual structures within the type spaces to be elaborated within the discourse structure as seen for the predicate ‘episodic memory’.  To elaborate the predicate ‘semantic memory’ the words that had to be recalled by the students were chosen and provided by the instructor. The separation of attentional windows separating previously elaborated conceptual structures and subsequently elaborated conceptual structures is not clearly delimited in the discourse. At 27 minutes and 34 seconds, after the task of recalling words, the predicates ‘long term memory’ and ‘procedural memory’ are elaborated and switches the central topic in the conceptual substrate until 29 minutes and 39 seconds before the topic in the conceptualsubstrate switches back to ‘semantic memory’. To elaborate ‘episodic memory’, the memories were chosen by the students themselves and the generalisations later provided by the instructor were seen to apply to these student generated structures.  This aids in entrenchment because it makes use of preexisting conceptual structures and builds new associations upon preexisting structures. Both the beginning and end of the attentional window where the topic in the conceptual substrate within  current discourse space remains ‘episodic memory’ are clearly delimited by specific structures. </w:t>
      </w:r>
    </w:p>
    <w:p>
      <w:pPr>
        <w:pStyle w:val="TextBody"/>
        <w:spacing w:lineRule="auto" w:line="276"/>
        <w:jc w:val="both"/>
        <w:rPr>
          <w:b/>
          <w:b/>
          <w:bCs/>
        </w:rPr>
      </w:pPr>
      <w:r>
        <w:rPr>
          <w:b/>
          <w:bCs/>
        </w:rPr>
      </w:r>
    </w:p>
    <w:p>
      <w:pPr>
        <w:pStyle w:val="TextBody"/>
        <w:spacing w:lineRule="auto" w:line="276"/>
        <w:jc w:val="both"/>
        <w:rPr>
          <w:b w:val="false"/>
          <w:b w:val="false"/>
          <w:bCs w:val="false"/>
        </w:rPr>
      </w:pPr>
      <w:r>
        <w:rPr>
          <w:b w:val="false"/>
          <w:bCs w:val="false"/>
        </w:rPr>
      </w:r>
    </w:p>
    <w:p>
      <w:pPr>
        <w:pStyle w:val="Normal"/>
        <w:spacing w:lineRule="auto" w:line="276"/>
        <w:jc w:val="both"/>
        <w:rPr>
          <w:b/>
          <w:b/>
          <w:bCs/>
        </w:rPr>
      </w:pPr>
      <w:r>
        <w:rPr/>
      </w:r>
    </w:p>
    <w:p>
      <w:pPr>
        <w:pStyle w:val="Normal"/>
        <w:spacing w:lineRule="auto" w:line="276"/>
        <w:jc w:val="both"/>
        <w:rPr>
          <w:b/>
          <w:b/>
          <w:bCs/>
        </w:rPr>
      </w:pPr>
      <w:r>
        <w:rPr/>
      </w:r>
    </w:p>
    <w:p>
      <w:pPr>
        <w:pStyle w:val="Normal"/>
        <w:spacing w:lineRule="auto" w:line="276"/>
        <w:jc w:val="both"/>
        <w:rPr>
          <w:b/>
          <w:b/>
          <w:bCs/>
        </w:rPr>
      </w:pPr>
      <w:r>
        <w:rPr/>
      </w:r>
    </w:p>
    <w:p>
      <w:pPr>
        <w:pStyle w:val="Normal"/>
        <w:spacing w:lineRule="auto" w:line="276"/>
        <w:jc w:val="both"/>
        <w:rPr>
          <w:b/>
          <w:b/>
          <w:bCs/>
        </w:rPr>
      </w:pPr>
      <w:r>
        <w:rPr/>
      </w:r>
    </w:p>
    <w:p>
      <w:pPr>
        <w:pStyle w:val="Normal"/>
        <w:spacing w:lineRule="auto" w:line="276"/>
        <w:jc w:val="both"/>
        <w:rPr>
          <w:b/>
          <w:b/>
          <w:bCs/>
        </w:rPr>
      </w:pPr>
      <w:r>
        <w:rPr/>
      </w:r>
    </w:p>
    <w:p>
      <w:pPr>
        <w:pStyle w:val="Heading2"/>
        <w:rPr/>
      </w:pPr>
      <w:r>
        <w:rPr>
          <w:rStyle w:val="StrongEmphasis"/>
        </w:rPr>
        <w:t>Declarations</w:t>
      </w:r>
    </w:p>
    <w:p>
      <w:pPr>
        <w:pStyle w:val="Heading3"/>
        <w:rPr/>
      </w:pPr>
      <w:r>
        <w:rPr>
          <w:rStyle w:val="StrongEmphasis"/>
        </w:rPr>
        <w:t>Ethical Approval and Consent to Participate</w:t>
      </w:r>
    </w:p>
    <w:p>
      <w:pPr>
        <w:pStyle w:val="TextBody"/>
        <w:rPr/>
      </w:pPr>
      <w:r>
        <w:rPr/>
        <w:t>The author affirms that ethical clearance for this research was obtained from the Ethics Committee of the author’s home institution. All procedures involving human participants were conducted in accordance with institutional guidelines and ethical standards. Informed consent was obtained from all participants prior to data collection, and their anonymity and confidentiality have been preserved throughout the study.</w:t>
      </w:r>
    </w:p>
    <w:p>
      <w:pPr>
        <w:pStyle w:val="Heading3"/>
        <w:rPr/>
      </w:pPr>
      <w:r>
        <w:rPr>
          <w:rStyle w:val="StrongEmphasis"/>
        </w:rPr>
        <w:t>Consent for Publication</w:t>
      </w:r>
    </w:p>
    <w:p>
      <w:pPr>
        <w:pStyle w:val="TextBody"/>
        <w:rPr/>
      </w:pPr>
      <w:r>
        <w:rPr/>
        <w:t>Participants were informed that anonymized excerpts from their classroom discourse and interviews may be used for academic publication. Consent for publication was obtained as part of the broader consent to participate.</w:t>
      </w:r>
    </w:p>
    <w:p>
      <w:pPr>
        <w:pStyle w:val="Heading3"/>
        <w:rPr/>
      </w:pPr>
      <w:r>
        <w:rPr>
          <w:rStyle w:val="StrongEmphasis"/>
        </w:rPr>
        <w:t>Competing Interests</w:t>
      </w:r>
    </w:p>
    <w:p>
      <w:pPr>
        <w:pStyle w:val="TextBody"/>
        <w:rPr/>
      </w:pPr>
      <w:r>
        <w:rPr/>
        <w:t>The author declares no competing interests.</w:t>
      </w:r>
    </w:p>
    <w:p>
      <w:pPr>
        <w:pStyle w:val="Heading3"/>
        <w:rPr/>
      </w:pPr>
      <w:r>
        <w:rPr>
          <w:rStyle w:val="StrongEmphasis"/>
        </w:rPr>
        <w:t>Funding</w:t>
      </w:r>
    </w:p>
    <w:p>
      <w:pPr>
        <w:pStyle w:val="TextBody"/>
        <w:rPr/>
      </w:pPr>
      <w:r>
        <w:rPr/>
        <w:t>This research did not receive any specific grant from funding agencies in the public, commercial, or not-for-profit sectors.</w:t>
      </w:r>
    </w:p>
    <w:p>
      <w:pPr>
        <w:pStyle w:val="Heading3"/>
        <w:rPr/>
      </w:pPr>
      <w:r>
        <w:rPr>
          <w:rStyle w:val="StrongEmphasis"/>
        </w:rPr>
        <w:t>Author Contributions</w:t>
      </w:r>
    </w:p>
    <w:p>
      <w:pPr>
        <w:pStyle w:val="Heading3"/>
        <w:rPr/>
      </w:pPr>
      <w:r>
        <w:rPr>
          <w:rStyle w:val="StrongEmphasis"/>
          <w:b w:val="false"/>
          <w:bCs w:val="false"/>
          <w:sz w:val="24"/>
          <w:szCs w:val="24"/>
        </w:rPr>
        <w:t>The author solely conceptualized, conducted, analyzed, and wrote the manuscript.</w:t>
      </w:r>
    </w:p>
    <w:p>
      <w:pPr>
        <w:pStyle w:val="Heading3"/>
        <w:rPr/>
      </w:pPr>
      <w:r>
        <w:rPr>
          <w:rStyle w:val="StrongEmphasis"/>
        </w:rPr>
        <w:t>Acknowledgments</w:t>
      </w:r>
    </w:p>
    <w:p>
      <w:pPr>
        <w:pStyle w:val="TextBody"/>
        <w:spacing w:lineRule="auto" w:line="276"/>
        <w:ind w:left="0" w:right="0" w:hanging="0"/>
        <w:rPr/>
      </w:pPr>
      <w:r>
        <w:rPr>
          <w:rStyle w:val="StrongEmphasis"/>
          <w:b w:val="false"/>
          <w:bCs w:val="false"/>
          <w:sz w:val="24"/>
          <w:szCs w:val="24"/>
        </w:rPr>
        <w:t>The author thanks the participants for their engagement and the institutional support provided during the research process.</w:t>
      </w:r>
    </w:p>
    <w:p>
      <w:pPr>
        <w:pStyle w:val="TextBody"/>
        <w:spacing w:lineRule="auto" w:line="480"/>
        <w:ind w:left="0" w:right="0" w:hanging="0"/>
        <w:rPr>
          <w:rStyle w:val="StrongEmphasis"/>
          <w:sz w:val="24"/>
          <w:szCs w:val="24"/>
        </w:rPr>
      </w:pPr>
      <w:r>
        <w:rPr/>
      </w:r>
    </w:p>
    <w:p>
      <w:pPr>
        <w:pStyle w:val="TextBody"/>
        <w:spacing w:lineRule="auto" w:line="480"/>
        <w:ind w:left="0" w:right="0" w:hanging="0"/>
        <w:rPr>
          <w:rStyle w:val="StrongEmphasis"/>
          <w:sz w:val="24"/>
          <w:szCs w:val="24"/>
        </w:rPr>
      </w:pPr>
      <w:r>
        <w:rPr/>
      </w:r>
    </w:p>
    <w:p>
      <w:pPr>
        <w:pStyle w:val="TextBody"/>
        <w:spacing w:lineRule="auto" w:line="480"/>
        <w:ind w:left="0" w:right="0" w:hanging="0"/>
        <w:rPr>
          <w:rStyle w:val="StrongEmphasis"/>
          <w:sz w:val="24"/>
          <w:szCs w:val="24"/>
        </w:rPr>
      </w:pPr>
      <w:r>
        <w:rPr/>
      </w:r>
    </w:p>
    <w:p>
      <w:pPr>
        <w:pStyle w:val="TextBody"/>
        <w:spacing w:lineRule="auto" w:line="480"/>
        <w:ind w:left="0" w:right="0" w:hanging="0"/>
        <w:rPr>
          <w:rStyle w:val="StrongEmphasis"/>
          <w:sz w:val="24"/>
          <w:szCs w:val="24"/>
        </w:rPr>
      </w:pPr>
      <w:r>
        <w:rPr/>
      </w:r>
    </w:p>
    <w:p>
      <w:pPr>
        <w:pStyle w:val="TextBody"/>
        <w:spacing w:lineRule="auto" w:line="480"/>
        <w:ind w:left="0" w:right="0" w:hanging="0"/>
        <w:rPr>
          <w:rStyle w:val="StrongEmphasis"/>
          <w:sz w:val="24"/>
          <w:szCs w:val="24"/>
        </w:rPr>
      </w:pPr>
      <w:r>
        <w:rPr/>
      </w:r>
    </w:p>
    <w:p>
      <w:pPr>
        <w:pStyle w:val="TextBody"/>
        <w:spacing w:lineRule="auto" w:line="480"/>
        <w:ind w:left="0" w:right="0" w:hanging="0"/>
        <w:rPr>
          <w:rStyle w:val="StrongEmphasis"/>
          <w:sz w:val="24"/>
          <w:szCs w:val="24"/>
        </w:rPr>
      </w:pPr>
      <w:r>
        <w:rPr/>
      </w:r>
    </w:p>
    <w:p>
      <w:pPr>
        <w:pStyle w:val="TextBody"/>
        <w:spacing w:lineRule="auto" w:line="480"/>
        <w:ind w:left="0" w:right="0" w:hanging="0"/>
        <w:rPr/>
      </w:pPr>
      <w:r>
        <w:rPr>
          <w:rStyle w:val="StrongEmphasis"/>
          <w:sz w:val="24"/>
          <w:szCs w:val="24"/>
        </w:rPr>
        <w:t>Appendices and supplementary material</w:t>
      </w:r>
    </w:p>
    <w:p>
      <w:pPr>
        <w:pStyle w:val="TextBody"/>
        <w:widowControl/>
        <w:numPr>
          <w:ilvl w:val="0"/>
          <w:numId w:val="8"/>
        </w:numPr>
        <w:suppressAutoHyphens w:val="false"/>
        <w:overflowPunct w:val="false"/>
        <w:bidi w:val="0"/>
        <w:spacing w:lineRule="auto" w:line="480" w:before="0" w:after="140"/>
        <w:ind w:left="0" w:right="0" w:hanging="0"/>
        <w:jc w:val="both"/>
        <w:textAlignment w:val="baseline"/>
        <w:rPr/>
      </w:pPr>
      <w:r>
        <w:rPr>
          <w:rStyle w:val="StrongEmphasis"/>
          <w:sz w:val="24"/>
          <w:szCs w:val="24"/>
        </w:rPr>
        <w:t>Appendix A</w:t>
      </w:r>
    </w:p>
    <w:p>
      <w:pPr>
        <w:pStyle w:val="TextBody"/>
        <w:widowControl/>
        <w:numPr>
          <w:ilvl w:val="0"/>
          <w:numId w:val="8"/>
        </w:numPr>
        <w:suppressAutoHyphens w:val="false"/>
        <w:overflowPunct w:val="false"/>
        <w:bidi w:val="0"/>
        <w:spacing w:lineRule="auto" w:line="480" w:before="0" w:after="140"/>
        <w:ind w:left="0" w:right="0" w:hanging="0"/>
        <w:jc w:val="both"/>
        <w:textAlignment w:val="baseline"/>
        <w:rPr/>
      </w:pPr>
      <w:r>
        <w:rPr>
          <w:rStyle w:val="StrongEmphasis"/>
          <w:sz w:val="24"/>
          <w:szCs w:val="24"/>
        </w:rPr>
        <w:t>Appendix B</w:t>
      </w:r>
    </w:p>
    <w:p>
      <w:pPr>
        <w:pStyle w:val="TextBody"/>
        <w:widowControl/>
        <w:numPr>
          <w:ilvl w:val="0"/>
          <w:numId w:val="8"/>
        </w:numPr>
        <w:suppressAutoHyphens w:val="false"/>
        <w:overflowPunct w:val="false"/>
        <w:bidi w:val="0"/>
        <w:spacing w:lineRule="auto" w:line="480" w:before="0" w:after="140"/>
        <w:ind w:left="720" w:right="0" w:hanging="720"/>
        <w:jc w:val="both"/>
        <w:textAlignment w:val="baseline"/>
        <w:rPr/>
      </w:pPr>
      <w:r>
        <w:rPr>
          <w:b w:val="false"/>
          <w:bCs w:val="false"/>
          <w:i w:val="false"/>
          <w:iCs w:val="false"/>
          <w:sz w:val="24"/>
          <w:szCs w:val="24"/>
        </w:rPr>
        <w:t>Atrayee Mukherjee</w:t>
      </w:r>
      <w:r>
        <w:rPr>
          <w:b w:val="false"/>
          <w:bCs w:val="false"/>
          <w:i/>
          <w:iCs/>
          <w:sz w:val="24"/>
          <w:szCs w:val="24"/>
        </w:rPr>
        <w:t>.</w:t>
      </w:r>
      <w:r>
        <w:rPr>
          <w:b w:val="false"/>
          <w:bCs w:val="false"/>
          <w:sz w:val="24"/>
          <w:szCs w:val="24"/>
        </w:rPr>
        <w:t xml:space="preserve"> (2023). </w:t>
      </w:r>
      <w:r>
        <w:rPr>
          <w:rStyle w:val="Emphasis"/>
          <w:b w:val="false"/>
          <w:bCs w:val="false"/>
          <w:sz w:val="24"/>
          <w:szCs w:val="24"/>
        </w:rPr>
        <w:t>Instruction period recording</w:t>
      </w:r>
      <w:r>
        <w:rPr>
          <w:b w:val="false"/>
          <w:bCs w:val="false"/>
          <w:sz w:val="24"/>
          <w:szCs w:val="24"/>
        </w:rPr>
        <w:t xml:space="preserve"> [Unpublished audio recording]. Supplementary material for </w:t>
      </w:r>
      <w:r>
        <w:rPr>
          <w:rFonts w:eastAsia="Times New Roman"/>
          <w:b w:val="false"/>
          <w:bCs w:val="false"/>
          <w:i/>
          <w:iCs/>
          <w:sz w:val="24"/>
          <w:szCs w:val="24"/>
          <w:lang w:val="en-US" w:eastAsia="en-US" w:bidi="ar-SA"/>
        </w:rPr>
        <w:t>Analysing Discrepancy between Post Festum and Heuristic Analogy</w:t>
      </w:r>
      <w:r>
        <w:rPr>
          <w:b w:val="false"/>
          <w:bCs w:val="false"/>
          <w:sz w:val="24"/>
          <w:szCs w:val="24"/>
        </w:rPr>
        <w:t>, Indian Institute of Technology, Kharagpur.</w:t>
      </w:r>
    </w:p>
    <w:p>
      <w:pPr>
        <w:pStyle w:val="TextBody"/>
        <w:widowControl/>
        <w:numPr>
          <w:ilvl w:val="0"/>
          <w:numId w:val="8"/>
        </w:numPr>
        <w:suppressAutoHyphens w:val="false"/>
        <w:overflowPunct w:val="false"/>
        <w:bidi w:val="0"/>
        <w:spacing w:lineRule="auto" w:line="480" w:before="0" w:after="140"/>
        <w:ind w:left="720" w:right="0" w:hanging="720"/>
        <w:jc w:val="both"/>
        <w:textAlignment w:val="baseline"/>
        <w:rPr/>
      </w:pPr>
      <w:r>
        <w:rPr>
          <w:b w:val="false"/>
          <w:bCs w:val="false"/>
          <w:i w:val="false"/>
          <w:iCs w:val="false"/>
          <w:sz w:val="24"/>
          <w:szCs w:val="24"/>
        </w:rPr>
        <w:t>Atrayee Mukherjee</w:t>
      </w:r>
      <w:r>
        <w:rPr>
          <w:b w:val="false"/>
          <w:bCs w:val="false"/>
          <w:i/>
          <w:iCs/>
          <w:sz w:val="24"/>
          <w:szCs w:val="24"/>
        </w:rPr>
        <w:t>.</w:t>
      </w:r>
      <w:r>
        <w:rPr>
          <w:b w:val="false"/>
          <w:bCs w:val="false"/>
          <w:sz w:val="24"/>
          <w:szCs w:val="24"/>
        </w:rPr>
        <w:t xml:space="preserve"> (2023). </w:t>
      </w:r>
      <w:r>
        <w:rPr>
          <w:rStyle w:val="Emphasis"/>
          <w:b w:val="false"/>
          <w:bCs w:val="false"/>
          <w:sz w:val="24"/>
          <w:szCs w:val="24"/>
        </w:rPr>
        <w:t>Interview data recording</w:t>
      </w:r>
      <w:r>
        <w:rPr>
          <w:b w:val="false"/>
          <w:bCs w:val="false"/>
          <w:sz w:val="24"/>
          <w:szCs w:val="24"/>
        </w:rPr>
        <w:t xml:space="preserve"> [Unpublished audio recording]. Supplementary material for </w:t>
      </w:r>
      <w:r>
        <w:rPr>
          <w:rFonts w:eastAsia="Times New Roman"/>
          <w:b w:val="false"/>
          <w:bCs w:val="false"/>
          <w:i/>
          <w:iCs/>
          <w:sz w:val="24"/>
          <w:szCs w:val="24"/>
          <w:lang w:val="en-US" w:eastAsia="en-US" w:bidi="ar-SA"/>
        </w:rPr>
        <w:t>AnalysingDiscrepancy between Post Festum and Heuristic Analogy, Indian Institute of Technology, Kharagpur.</w:t>
      </w:r>
    </w:p>
    <w:p>
      <w:pPr>
        <w:pStyle w:val="TextBody"/>
        <w:widowControl/>
        <w:numPr>
          <w:ilvl w:val="0"/>
          <w:numId w:val="0"/>
        </w:numPr>
        <w:suppressAutoHyphens w:val="false"/>
        <w:overflowPunct w:val="false"/>
        <w:bidi w:val="0"/>
        <w:spacing w:lineRule="atLeast" w:line="229" w:before="0" w:after="140"/>
        <w:ind w:left="1440" w:right="0" w:hanging="0"/>
        <w:jc w:val="both"/>
        <w:textAlignment w:val="baseline"/>
        <w:rPr/>
      </w:pPr>
      <w:r>
        <w:rPr>
          <w:rFonts w:eastAsia="Times New Roman"/>
          <w:b w:val="false"/>
          <w:bCs w:val="false"/>
          <w:i/>
          <w:iCs/>
          <w:sz w:val="24"/>
          <w:szCs w:val="24"/>
          <w:lang w:val="en-US" w:eastAsia="en-US" w:bidi="ar-SA"/>
        </w:rPr>
        <w:t xml:space="preserve">Availability of data : All the data is available at the Open Science Framework which can be accessed through this link - </w:t>
      </w:r>
      <w:r>
        <w:rPr>
          <w:rStyle w:val="InternetLink"/>
          <w:rFonts w:eastAsia="Times New Roman"/>
          <w:b w:val="false"/>
          <w:bCs w:val="false"/>
          <w:i/>
          <w:iCs/>
          <w:sz w:val="24"/>
          <w:szCs w:val="24"/>
          <w:lang w:val="en-US" w:eastAsia="en-US" w:bidi="ar-SA"/>
        </w:rPr>
        <w:t xml:space="preserve">. </w:t>
      </w:r>
      <w:hyperlink r:id="rId3">
        <w:r>
          <w:rPr>
            <w:rStyle w:val="InternetLink"/>
            <w:rFonts w:eastAsia="Times New Roman"/>
            <w:b w:val="false"/>
            <w:bCs w:val="false"/>
            <w:i/>
            <w:iCs/>
            <w:sz w:val="24"/>
            <w:szCs w:val="24"/>
            <w:lang w:val="en-US" w:eastAsia="en-US" w:bidi="ar-SA"/>
          </w:rPr>
          <w:t>https://osf.io/download/7kjd4/?direct&amp;mode=render</w:t>
        </w:r>
      </w:hyperlink>
    </w:p>
    <w:p>
      <w:pPr>
        <w:pStyle w:val="TextBody"/>
        <w:widowControl/>
        <w:numPr>
          <w:ilvl w:val="0"/>
          <w:numId w:val="0"/>
        </w:numPr>
        <w:suppressAutoHyphens w:val="false"/>
        <w:overflowPunct w:val="false"/>
        <w:bidi w:val="0"/>
        <w:spacing w:lineRule="atLeast" w:line="229" w:before="0" w:after="140"/>
        <w:ind w:left="1440" w:right="0" w:hanging="0"/>
        <w:jc w:val="both"/>
        <w:textAlignment w:val="baseline"/>
        <w:rPr/>
      </w:pPr>
      <w:r>
        <w:rPr>
          <w:rStyle w:val="InternetLink"/>
          <w:rFonts w:eastAsia="Times New Roman"/>
          <w:b w:val="false"/>
          <w:bCs w:val="false"/>
          <w:i w:val="false"/>
          <w:iCs w:val="false"/>
          <w:sz w:val="24"/>
          <w:szCs w:val="24"/>
          <w:lang w:val="en-US" w:eastAsia="en-US" w:bidi="ar-SA"/>
        </w:rPr>
        <w:t xml:space="preserve"> </w:t>
      </w:r>
    </w:p>
    <w:p>
      <w:pPr>
        <w:pStyle w:val="Normal"/>
        <w:spacing w:lineRule="auto" w:line="480"/>
        <w:jc w:val="both"/>
        <w:rPr>
          <w:b/>
          <w:b/>
          <w:bCs/>
        </w:rPr>
      </w:pPr>
      <w:r>
        <w:rPr>
          <w:b w:val="false"/>
          <w:bCs w:val="false"/>
        </w:rPr>
      </w:r>
    </w:p>
    <w:p>
      <w:pPr>
        <w:pStyle w:val="Normal"/>
        <w:spacing w:lineRule="auto" w:line="276"/>
        <w:jc w:val="both"/>
        <w:rPr>
          <w:b/>
          <w:b/>
          <w:bCs/>
        </w:rPr>
      </w:pPr>
      <w:r>
        <w:rPr/>
      </w:r>
    </w:p>
    <w:p>
      <w:pPr>
        <w:pStyle w:val="Normal"/>
        <w:spacing w:lineRule="auto" w:line="276"/>
        <w:jc w:val="both"/>
        <w:rPr>
          <w:b/>
          <w:b/>
          <w:bCs/>
        </w:rPr>
      </w:pPr>
      <w:r>
        <w:rPr/>
      </w:r>
    </w:p>
    <w:p>
      <w:pPr>
        <w:pStyle w:val="Normal"/>
        <w:spacing w:lineRule="auto" w:line="276"/>
        <w:jc w:val="both"/>
        <w:rPr>
          <w:b/>
          <w:b/>
          <w:bCs/>
        </w:rPr>
      </w:pPr>
      <w:r>
        <w:rPr/>
      </w:r>
    </w:p>
    <w:p>
      <w:pPr>
        <w:pStyle w:val="Normal"/>
        <w:spacing w:lineRule="auto" w:line="276"/>
        <w:jc w:val="both"/>
        <w:rPr>
          <w:b/>
          <w:b/>
          <w:bCs/>
        </w:rPr>
      </w:pPr>
      <w:r>
        <w:rPr/>
      </w:r>
    </w:p>
    <w:p>
      <w:pPr>
        <w:pStyle w:val="Normal"/>
        <w:spacing w:lineRule="auto" w:line="276"/>
        <w:jc w:val="both"/>
        <w:rPr>
          <w:b/>
          <w:b/>
          <w:bCs/>
        </w:rPr>
      </w:pPr>
      <w:r>
        <w:rPr/>
      </w:r>
    </w:p>
    <w:p>
      <w:pPr>
        <w:pStyle w:val="Normal"/>
        <w:spacing w:lineRule="auto" w:line="276"/>
        <w:jc w:val="both"/>
        <w:rPr>
          <w:b/>
          <w:b/>
          <w:bCs/>
        </w:rPr>
      </w:pPr>
      <w:r>
        <w:rPr/>
      </w:r>
    </w:p>
    <w:p>
      <w:pPr>
        <w:pStyle w:val="Normal"/>
        <w:spacing w:lineRule="auto" w:line="276"/>
        <w:jc w:val="both"/>
        <w:rPr>
          <w:b/>
          <w:b/>
          <w:bCs/>
        </w:rPr>
      </w:pPr>
      <w:r>
        <w:rPr/>
      </w:r>
    </w:p>
    <w:p>
      <w:pPr>
        <w:pStyle w:val="Normal"/>
        <w:spacing w:lineRule="auto" w:line="276"/>
        <w:jc w:val="both"/>
        <w:rPr/>
      </w:pPr>
      <w:r>
        <w:rPr>
          <w:b/>
          <w:bCs/>
        </w:rPr>
        <w:t xml:space="preserve">References </w:t>
      </w:r>
    </w:p>
    <w:p>
      <w:pPr>
        <w:pStyle w:val="Normal"/>
        <w:spacing w:lineRule="auto" w:line="276"/>
        <w:jc w:val="both"/>
        <w:rPr>
          <w:rStyle w:val="InternetLink"/>
          <w:sz w:val="24"/>
          <w:szCs w:val="24"/>
        </w:rPr>
      </w:pPr>
      <w:r>
        <w:rPr>
          <w:sz w:val="24"/>
          <w:szCs w:val="24"/>
        </w:rPr>
      </w:r>
    </w:p>
    <w:p>
      <w:pPr>
        <w:pStyle w:val="Normal"/>
        <w:spacing w:lineRule="auto" w:line="276"/>
        <w:jc w:val="both"/>
        <w:rPr>
          <w:rStyle w:val="InternetLink"/>
          <w:sz w:val="24"/>
          <w:szCs w:val="24"/>
        </w:rPr>
      </w:pPr>
      <w:r>
        <w:rPr>
          <w:sz w:val="24"/>
          <w:szCs w:val="24"/>
        </w:rPr>
      </w:r>
    </w:p>
    <w:p>
      <w:pPr>
        <w:pStyle w:val="TextBody"/>
        <w:numPr>
          <w:ilvl w:val="0"/>
          <w:numId w:val="2"/>
        </w:numPr>
        <w:spacing w:lineRule="auto" w:line="276"/>
        <w:jc w:val="both"/>
        <w:rPr/>
      </w:pPr>
      <w:r>
        <w:rPr>
          <w:rStyle w:val="StrongEmphasis"/>
          <w:b w:val="false"/>
          <w:bCs w:val="false"/>
          <w:color w:val="000000"/>
          <w:sz w:val="24"/>
          <w:szCs w:val="24"/>
        </w:rPr>
        <w:t>Alobaid, A. (2023).</w:t>
      </w:r>
      <w:r>
        <w:rPr>
          <w:rStyle w:val="InternetLink"/>
          <w:b w:val="false"/>
          <w:bCs w:val="false"/>
          <w:color w:val="000000"/>
          <w:sz w:val="24"/>
          <w:szCs w:val="24"/>
        </w:rPr>
        <w:t xml:space="preserve"> </w:t>
      </w:r>
      <w:r>
        <w:rPr>
          <w:rStyle w:val="Emphasis"/>
          <w:b w:val="false"/>
          <w:bCs w:val="false"/>
          <w:color w:val="000000"/>
          <w:sz w:val="24"/>
          <w:szCs w:val="24"/>
        </w:rPr>
        <w:t>Understanding multilingualism in India’s classrooms</w:t>
      </w:r>
      <w:r>
        <w:rPr>
          <w:rStyle w:val="InternetLink"/>
          <w:b w:val="false"/>
          <w:bCs w:val="false"/>
          <w:color w:val="000000"/>
          <w:sz w:val="24"/>
          <w:szCs w:val="24"/>
        </w:rPr>
        <w:t>. Macmillan Education India.</w:t>
      </w:r>
    </w:p>
    <w:p>
      <w:pPr>
        <w:pStyle w:val="TextBody"/>
        <w:numPr>
          <w:ilvl w:val="0"/>
          <w:numId w:val="2"/>
        </w:numPr>
        <w:spacing w:lineRule="auto" w:line="276"/>
        <w:jc w:val="both"/>
        <w:rPr/>
      </w:pPr>
      <w:r>
        <w:rPr>
          <w:rStyle w:val="InternetLink"/>
          <w:b w:val="false"/>
          <w:bCs w:val="false"/>
          <w:sz w:val="24"/>
          <w:szCs w:val="24"/>
        </w:rPr>
        <w:t xml:space="preserve">Aubusson, P. J., &amp; Fogwill, S. (2006). Role play as analogical modelling in science. In P. J. Aubusson, A. G. Harrison, &amp; S. M. Ritchie (Eds.), </w:t>
      </w:r>
      <w:r>
        <w:rPr>
          <w:rStyle w:val="Emphasis"/>
          <w:b w:val="false"/>
          <w:bCs w:val="false"/>
          <w:sz w:val="24"/>
          <w:szCs w:val="24"/>
        </w:rPr>
        <w:t>Metaphor and analogy in science education</w:t>
      </w:r>
      <w:r>
        <w:rPr>
          <w:rStyle w:val="InternetLink"/>
          <w:b w:val="false"/>
          <w:bCs w:val="false"/>
          <w:sz w:val="24"/>
          <w:szCs w:val="24"/>
        </w:rPr>
        <w:t xml:space="preserve"> (pp. 93–105). Springer.</w:t>
      </w:r>
    </w:p>
    <w:p>
      <w:pPr>
        <w:pStyle w:val="TextBody"/>
        <w:numPr>
          <w:ilvl w:val="0"/>
          <w:numId w:val="2"/>
        </w:numPr>
        <w:spacing w:lineRule="auto" w:line="276"/>
        <w:jc w:val="both"/>
        <w:rPr>
          <w:rStyle w:val="InternetLink"/>
          <w:b w:val="false"/>
          <w:b w:val="false"/>
          <w:bCs w:val="false"/>
          <w:sz w:val="24"/>
          <w:szCs w:val="24"/>
        </w:rPr>
      </w:pPr>
      <w:r>
        <w:rPr>
          <w:rStyle w:val="InternetLink"/>
          <w:b w:val="false"/>
          <w:bCs w:val="false"/>
          <w:sz w:val="24"/>
          <w:szCs w:val="24"/>
        </w:rPr>
        <w:t xml:space="preserve">Aikenhead, G. S. (1996). </w:t>
      </w:r>
      <w:r>
        <w:rPr>
          <w:rStyle w:val="Emphasis"/>
          <w:b w:val="false"/>
          <w:bCs w:val="false"/>
          <w:sz w:val="24"/>
          <w:szCs w:val="24"/>
        </w:rPr>
        <w:t>Science education: Border crossing into the subculture of science</w:t>
      </w:r>
      <w:r>
        <w:rPr>
          <w:rStyle w:val="InternetLink"/>
          <w:b w:val="false"/>
          <w:bCs w:val="false"/>
          <w:sz w:val="24"/>
          <w:szCs w:val="24"/>
        </w:rPr>
        <w:t xml:space="preserve">. </w:t>
      </w:r>
      <w:r>
        <w:rPr>
          <w:rStyle w:val="Emphasis"/>
          <w:b w:val="false"/>
          <w:bCs w:val="false"/>
          <w:sz w:val="24"/>
          <w:szCs w:val="24"/>
        </w:rPr>
        <w:t>Studies in Science Education, 27</w:t>
      </w:r>
      <w:r>
        <w:rPr>
          <w:rStyle w:val="InternetLink"/>
          <w:b w:val="false"/>
          <w:bCs w:val="false"/>
          <w:sz w:val="24"/>
          <w:szCs w:val="24"/>
        </w:rPr>
        <w:t xml:space="preserve">(1), 1–52. https://doi.org/10.1080/03057269608560077 </w:t>
      </w:r>
    </w:p>
    <w:p>
      <w:pPr>
        <w:pStyle w:val="TextBody"/>
        <w:numPr>
          <w:ilvl w:val="0"/>
          <w:numId w:val="0"/>
        </w:numPr>
        <w:spacing w:lineRule="auto" w:line="276"/>
        <w:ind w:left="341" w:hanging="0"/>
        <w:jc w:val="both"/>
        <w:rPr>
          <w:rStyle w:val="InternetLink"/>
          <w:sz w:val="24"/>
          <w:szCs w:val="24"/>
        </w:rPr>
      </w:pPr>
      <w:r>
        <w:rPr>
          <w:sz w:val="24"/>
          <w:szCs w:val="24"/>
        </w:rPr>
      </w:r>
    </w:p>
    <w:p>
      <w:pPr>
        <w:pStyle w:val="TextBody"/>
        <w:numPr>
          <w:ilvl w:val="0"/>
          <w:numId w:val="2"/>
        </w:numPr>
        <w:spacing w:lineRule="auto" w:line="276"/>
        <w:jc w:val="both"/>
        <w:rPr/>
      </w:pPr>
      <w:r>
        <w:rPr>
          <w:rStyle w:val="StrongEmphasis"/>
          <w:b w:val="false"/>
          <w:bCs w:val="false"/>
          <w:i w:val="false"/>
          <w:iCs w:val="false"/>
          <w:sz w:val="24"/>
          <w:szCs w:val="24"/>
        </w:rPr>
        <w:t>Azuma, H. (1986).</w:t>
      </w:r>
      <w:r>
        <w:rPr>
          <w:rStyle w:val="StrongEmphasis"/>
          <w:b w:val="false"/>
          <w:bCs w:val="false"/>
          <w:sz w:val="24"/>
          <w:szCs w:val="24"/>
        </w:rPr>
        <w:t xml:space="preserve"> Why study child development in Japan. In H. W. Stevenson, H. Azuma, &amp; K. Hakuta (Eds.), </w:t>
      </w:r>
      <w:r>
        <w:rPr>
          <w:rStyle w:val="Emphasis"/>
          <w:b w:val="false"/>
          <w:bCs w:val="false"/>
          <w:sz w:val="24"/>
          <w:szCs w:val="24"/>
        </w:rPr>
        <w:t>Child development and education in Japan</w:t>
      </w:r>
      <w:r>
        <w:rPr>
          <w:rStyle w:val="StrongEmphasis"/>
          <w:b w:val="false"/>
          <w:bCs w:val="false"/>
          <w:sz w:val="24"/>
          <w:szCs w:val="24"/>
        </w:rPr>
        <w:t xml:space="preserve"> (pp. 3–12). W.H. Freeman.</w:t>
      </w:r>
    </w:p>
    <w:p>
      <w:pPr>
        <w:pStyle w:val="TextBody"/>
        <w:numPr>
          <w:ilvl w:val="0"/>
          <w:numId w:val="0"/>
        </w:numPr>
        <w:spacing w:lineRule="auto" w:line="276"/>
        <w:ind w:left="341" w:hanging="0"/>
        <w:jc w:val="both"/>
        <w:rPr>
          <w:rStyle w:val="InternetLink"/>
          <w:sz w:val="24"/>
          <w:szCs w:val="24"/>
        </w:rPr>
      </w:pPr>
      <w:r>
        <w:rPr>
          <w:sz w:val="24"/>
          <w:szCs w:val="24"/>
        </w:rPr>
      </w:r>
    </w:p>
    <w:p>
      <w:pPr>
        <w:pStyle w:val="Normal"/>
        <w:numPr>
          <w:ilvl w:val="0"/>
          <w:numId w:val="2"/>
        </w:numPr>
        <w:spacing w:lineRule="auto" w:line="276"/>
        <w:jc w:val="both"/>
        <w:rPr/>
      </w:pPr>
      <w:r>
        <w:rPr>
          <w:color w:val="000000"/>
        </w:rPr>
        <w:t xml:space="preserve">Bartsch, S., &amp; Evert, S. (2014). </w:t>
      </w:r>
      <w:r>
        <w:rPr>
          <w:rStyle w:val="Emphasis"/>
          <w:color w:val="000000"/>
        </w:rPr>
        <w:t>Towards a Firthian notion of collocation</w:t>
      </w:r>
      <w:r>
        <w:rPr>
          <w:color w:val="000000"/>
        </w:rPr>
        <w:t xml:space="preserve">. In A. Abel &amp; L. Lemnitzer (Eds.), </w:t>
      </w:r>
      <w:r>
        <w:rPr>
          <w:rStyle w:val="Emphasis"/>
          <w:color w:val="000000"/>
        </w:rPr>
        <w:t>Vernetzungsstrategien, Zugriffsstrukturen und automatisch ermittelte Angaben in Internetwörterbüchern</w:t>
      </w:r>
      <w:r>
        <w:rPr>
          <w:color w:val="000000"/>
        </w:rPr>
        <w:t xml:space="preserve"> (pp. 48–61). Mannheim: Institut für Deutsche Sprache</w:t>
      </w:r>
    </w:p>
    <w:p>
      <w:pPr>
        <w:pStyle w:val="Normal"/>
        <w:numPr>
          <w:ilvl w:val="0"/>
          <w:numId w:val="0"/>
        </w:numPr>
        <w:spacing w:lineRule="auto" w:line="276"/>
        <w:ind w:left="341" w:hanging="0"/>
        <w:jc w:val="both"/>
        <w:rPr>
          <w:rStyle w:val="InternetLink"/>
          <w:color w:val="000000"/>
          <w:sz w:val="24"/>
          <w:szCs w:val="24"/>
        </w:rPr>
      </w:pPr>
      <w:r>
        <w:rPr>
          <w:color w:val="000000"/>
          <w:sz w:val="24"/>
          <w:szCs w:val="24"/>
        </w:rPr>
      </w:r>
    </w:p>
    <w:p>
      <w:pPr>
        <w:pStyle w:val="TextBody"/>
        <w:numPr>
          <w:ilvl w:val="0"/>
          <w:numId w:val="0"/>
        </w:numPr>
        <w:spacing w:lineRule="auto" w:line="276"/>
        <w:ind w:left="341" w:hanging="0"/>
        <w:jc w:val="both"/>
        <w:rPr>
          <w:rStyle w:val="InternetLink"/>
          <w:sz w:val="24"/>
          <w:szCs w:val="24"/>
        </w:rPr>
      </w:pPr>
      <w:r>
        <w:rPr>
          <w:sz w:val="24"/>
          <w:szCs w:val="24"/>
        </w:rPr>
      </w:r>
    </w:p>
    <w:p>
      <w:pPr>
        <w:pStyle w:val="TextBody"/>
        <w:numPr>
          <w:ilvl w:val="0"/>
          <w:numId w:val="2"/>
        </w:numPr>
        <w:spacing w:lineRule="auto" w:line="276"/>
        <w:jc w:val="both"/>
        <w:rPr/>
      </w:pPr>
      <w:r>
        <w:rPr>
          <w:rStyle w:val="InternetLink"/>
          <w:b w:val="false"/>
          <w:bCs w:val="false"/>
          <w:sz w:val="24"/>
          <w:szCs w:val="24"/>
        </w:rPr>
        <w:t xml:space="preserve">Berríos, J., Swain, A., &amp; Fricke, M. (2023). Implementing the map task in applied linguistics research: What, how, and why. </w:t>
      </w:r>
      <w:r>
        <w:rPr>
          <w:rStyle w:val="Emphasis"/>
          <w:b w:val="false"/>
          <w:bCs w:val="false"/>
          <w:sz w:val="24"/>
          <w:szCs w:val="24"/>
        </w:rPr>
        <w:t>Research Methods in Applied Linguistics, 2</w:t>
      </w:r>
      <w:r>
        <w:rPr>
          <w:rStyle w:val="InternetLink"/>
          <w:b w:val="false"/>
          <w:bCs w:val="false"/>
          <w:sz w:val="24"/>
          <w:szCs w:val="24"/>
        </w:rPr>
        <w:t xml:space="preserve">(3), 100081. </w:t>
      </w:r>
      <w:hyperlink r:id="rId4">
        <w:r>
          <w:rPr>
            <w:rStyle w:val="InternetLink"/>
            <w:b w:val="false"/>
            <w:bCs w:val="false"/>
            <w:sz w:val="24"/>
            <w:szCs w:val="24"/>
          </w:rPr>
          <w:t>https://doi.org/10.1016/j.rmal.2023.100081</w:t>
        </w:r>
      </w:hyperlink>
    </w:p>
    <w:p>
      <w:pPr>
        <w:pStyle w:val="TextBody"/>
        <w:spacing w:lineRule="auto" w:line="276"/>
        <w:jc w:val="both"/>
        <w:rPr>
          <w:rStyle w:val="InternetLink"/>
          <w:sz w:val="24"/>
          <w:szCs w:val="24"/>
        </w:rPr>
      </w:pPr>
      <w:r>
        <w:rPr>
          <w:sz w:val="24"/>
          <w:szCs w:val="24"/>
        </w:rPr>
      </w:r>
    </w:p>
    <w:p>
      <w:pPr>
        <w:pStyle w:val="TextBody"/>
        <w:numPr>
          <w:ilvl w:val="0"/>
          <w:numId w:val="2"/>
        </w:numPr>
        <w:spacing w:lineRule="auto" w:line="276"/>
        <w:jc w:val="both"/>
        <w:rPr/>
      </w:pPr>
      <w:r>
        <w:rPr>
          <w:rStyle w:val="InternetLink"/>
          <w:b w:val="false"/>
          <w:bCs w:val="false"/>
          <w:sz w:val="24"/>
          <w:szCs w:val="24"/>
        </w:rPr>
        <w:t xml:space="preserve">Chambers, J. K., &amp; Trudgill, P. (1998). </w:t>
      </w:r>
      <w:r>
        <w:rPr>
          <w:rStyle w:val="Emphasis"/>
          <w:b w:val="false"/>
          <w:bCs w:val="false"/>
          <w:sz w:val="24"/>
          <w:szCs w:val="24"/>
        </w:rPr>
        <w:t>Dialectology</w:t>
      </w:r>
      <w:r>
        <w:rPr>
          <w:rStyle w:val="InternetLink"/>
          <w:b w:val="false"/>
          <w:bCs w:val="false"/>
          <w:sz w:val="24"/>
          <w:szCs w:val="24"/>
        </w:rPr>
        <w:t xml:space="preserve"> (2nd ed.). Cambridge University Press. https://doi.org/10.1017/CBO9780511805103</w:t>
      </w:r>
    </w:p>
    <w:p>
      <w:pPr>
        <w:pStyle w:val="TextBody"/>
        <w:numPr>
          <w:ilvl w:val="0"/>
          <w:numId w:val="2"/>
        </w:numPr>
        <w:spacing w:lineRule="auto" w:line="276"/>
        <w:jc w:val="both"/>
        <w:rPr/>
      </w:pPr>
      <w:r>
        <w:rPr>
          <w:rStyle w:val="StrongEmphasis"/>
          <w:b w:val="false"/>
          <w:bCs w:val="false"/>
          <w:sz w:val="24"/>
          <w:szCs w:val="24"/>
        </w:rPr>
        <w:t>Chi, M. T. H., &amp; Slotta, J. D. (1993).</w:t>
      </w:r>
      <w:r>
        <w:rPr>
          <w:rStyle w:val="InternetLink"/>
          <w:b w:val="false"/>
          <w:bCs w:val="false"/>
          <w:sz w:val="24"/>
          <w:szCs w:val="24"/>
        </w:rPr>
        <w:t xml:space="preserve"> The ontological coherence of intuitive physics. </w:t>
      </w:r>
      <w:r>
        <w:rPr>
          <w:rStyle w:val="Emphasis"/>
          <w:b w:val="false"/>
          <w:bCs w:val="false"/>
          <w:sz w:val="24"/>
          <w:szCs w:val="24"/>
        </w:rPr>
        <w:t>Cognition and Instruction</w:t>
      </w:r>
      <w:r>
        <w:rPr>
          <w:rStyle w:val="InternetLink"/>
          <w:b w:val="false"/>
          <w:bCs w:val="false"/>
          <w:sz w:val="24"/>
          <w:szCs w:val="24"/>
        </w:rPr>
        <w:t xml:space="preserve">, </w:t>
      </w:r>
      <w:r>
        <w:rPr>
          <w:rStyle w:val="Emphasis"/>
          <w:b w:val="false"/>
          <w:bCs w:val="false"/>
          <w:sz w:val="24"/>
          <w:szCs w:val="24"/>
        </w:rPr>
        <w:t>10</w:t>
      </w:r>
      <w:r>
        <w:rPr>
          <w:rStyle w:val="InternetLink"/>
          <w:b w:val="false"/>
          <w:bCs w:val="false"/>
          <w:sz w:val="24"/>
          <w:szCs w:val="24"/>
        </w:rPr>
        <w:t>(2–3), 249–260.</w:t>
      </w:r>
    </w:p>
    <w:p>
      <w:pPr>
        <w:pStyle w:val="Normal"/>
        <w:numPr>
          <w:ilvl w:val="0"/>
          <w:numId w:val="2"/>
        </w:numPr>
        <w:spacing w:lineRule="auto" w:line="276"/>
        <w:jc w:val="both"/>
        <w:rPr/>
      </w:pPr>
      <w:r>
        <w:rPr>
          <w:rStyle w:val="StrongEmphasis"/>
          <w:b w:val="false"/>
          <w:bCs w:val="false"/>
        </w:rPr>
        <w:t>Clement, C. A., &amp; Gentner, D. (1991)</w:t>
      </w:r>
      <w:r>
        <w:rPr>
          <w:rStyle w:val="StrongEmphasis"/>
        </w:rPr>
        <w:t>.</w:t>
      </w:r>
      <w:r>
        <w:rPr/>
        <w:t xml:space="preserve"> Systematicity as a selection constraint in analogical mapping. </w:t>
      </w:r>
      <w:r>
        <w:rPr>
          <w:rStyle w:val="Emphasis"/>
        </w:rPr>
        <w:t>Cognitive Science, 15</w:t>
      </w:r>
      <w:r>
        <w:rPr/>
        <w:t xml:space="preserve">(1), 89–132. </w:t>
      </w:r>
      <w:hyperlink r:id="rId5">
        <w:r>
          <w:rPr>
            <w:rStyle w:val="InternetLink"/>
          </w:rPr>
          <w:t>https://doi.org/10.1207/s15516709cog1501_3</w:t>
        </w:r>
      </w:hyperlink>
    </w:p>
    <w:p>
      <w:pPr>
        <w:pStyle w:val="Normal"/>
        <w:numPr>
          <w:ilvl w:val="0"/>
          <w:numId w:val="0"/>
        </w:numPr>
        <w:spacing w:lineRule="auto" w:line="276"/>
        <w:ind w:left="341" w:hanging="0"/>
        <w:jc w:val="both"/>
        <w:rPr>
          <w:rStyle w:val="InternetLink"/>
          <w:sz w:val="24"/>
          <w:szCs w:val="24"/>
        </w:rPr>
      </w:pPr>
      <w:r>
        <w:rPr>
          <w:sz w:val="24"/>
          <w:szCs w:val="24"/>
        </w:rPr>
      </w:r>
    </w:p>
    <w:p>
      <w:pPr>
        <w:pStyle w:val="TextBody"/>
        <w:numPr>
          <w:ilvl w:val="0"/>
          <w:numId w:val="2"/>
        </w:numPr>
        <w:spacing w:lineRule="auto" w:line="276"/>
        <w:jc w:val="both"/>
        <w:rPr/>
      </w:pPr>
      <w:r>
        <w:rPr>
          <w:rStyle w:val="InternetLink"/>
          <w:b w:val="false"/>
          <w:bCs w:val="false"/>
          <w:sz w:val="24"/>
          <w:szCs w:val="24"/>
        </w:rPr>
        <w:t xml:space="preserve">Filipi, A. (2014). Speakers’ orientations to directional terms in a map task. </w:t>
      </w:r>
      <w:r>
        <w:rPr>
          <w:rStyle w:val="Emphasis"/>
          <w:b w:val="false"/>
          <w:bCs w:val="false"/>
          <w:sz w:val="24"/>
          <w:szCs w:val="24"/>
        </w:rPr>
        <w:t>Discourse Studies, 16</w:t>
      </w:r>
      <w:r>
        <w:rPr>
          <w:rStyle w:val="InternetLink"/>
          <w:b w:val="false"/>
          <w:bCs w:val="false"/>
          <w:sz w:val="24"/>
          <w:szCs w:val="24"/>
        </w:rPr>
        <w:t>(3), 365–384. https://doi.org/10.1177/1461445613508896</w:t>
      </w:r>
    </w:p>
    <w:p>
      <w:pPr>
        <w:pStyle w:val="TextBody"/>
        <w:numPr>
          <w:ilvl w:val="0"/>
          <w:numId w:val="0"/>
        </w:numPr>
        <w:spacing w:lineRule="auto" w:line="276"/>
        <w:ind w:left="341" w:hanging="0"/>
        <w:jc w:val="both"/>
        <w:rPr>
          <w:rStyle w:val="InternetLink"/>
          <w:sz w:val="24"/>
          <w:szCs w:val="24"/>
        </w:rPr>
      </w:pPr>
      <w:r>
        <w:rPr>
          <w:sz w:val="24"/>
          <w:szCs w:val="24"/>
        </w:rPr>
      </w:r>
    </w:p>
    <w:p>
      <w:pPr>
        <w:pStyle w:val="Normal"/>
        <w:numPr>
          <w:ilvl w:val="0"/>
          <w:numId w:val="2"/>
        </w:numPr>
        <w:spacing w:lineRule="auto" w:line="276"/>
        <w:jc w:val="both"/>
        <w:rPr/>
      </w:pPr>
      <w:r>
        <w:rPr>
          <w:rStyle w:val="InternetLink"/>
          <w:b w:val="false"/>
          <w:bCs w:val="false"/>
          <w:color w:val="000000"/>
          <w:sz w:val="24"/>
          <w:szCs w:val="24"/>
        </w:rPr>
        <w:t xml:space="preserve">Geethakumary, V. (1996). </w:t>
      </w:r>
      <w:r>
        <w:rPr>
          <w:rStyle w:val="Emphasis"/>
          <w:b w:val="false"/>
          <w:bCs w:val="false"/>
          <w:color w:val="000000"/>
          <w:sz w:val="24"/>
          <w:szCs w:val="24"/>
        </w:rPr>
        <w:t>A contrastive analysis of Hindi and Malayalam</w:t>
      </w:r>
      <w:r>
        <w:rPr>
          <w:rStyle w:val="InternetLink"/>
          <w:b w:val="false"/>
          <w:bCs w:val="false"/>
          <w:color w:val="000000"/>
          <w:sz w:val="24"/>
          <w:szCs w:val="24"/>
        </w:rPr>
        <w:t xml:space="preserve"> (Doctoral dissertation, University of Kerala). Shodhganga. </w:t>
      </w:r>
      <w:hyperlink r:id="rId6">
        <w:r>
          <w:rPr>
            <w:rStyle w:val="InternetLink"/>
            <w:b w:val="false"/>
            <w:bCs w:val="false"/>
            <w:color w:val="000000"/>
            <w:sz w:val="24"/>
            <w:szCs w:val="24"/>
          </w:rPr>
          <w:t>http://hdl.handle.net/10603/147683</w:t>
        </w:r>
      </w:hyperlink>
    </w:p>
    <w:p>
      <w:pPr>
        <w:pStyle w:val="TextBody"/>
        <w:numPr>
          <w:ilvl w:val="0"/>
          <w:numId w:val="0"/>
        </w:numPr>
        <w:spacing w:lineRule="auto" w:line="276"/>
        <w:ind w:left="341" w:hanging="0"/>
        <w:jc w:val="both"/>
        <w:rPr>
          <w:rStyle w:val="InternetLink"/>
          <w:sz w:val="24"/>
          <w:szCs w:val="24"/>
        </w:rPr>
      </w:pPr>
      <w:r>
        <w:rPr>
          <w:sz w:val="24"/>
          <w:szCs w:val="24"/>
        </w:rPr>
      </w:r>
    </w:p>
    <w:p>
      <w:pPr>
        <w:pStyle w:val="Normal"/>
        <w:numPr>
          <w:ilvl w:val="0"/>
          <w:numId w:val="2"/>
        </w:numPr>
        <w:spacing w:lineRule="auto" w:line="276"/>
        <w:jc w:val="both"/>
        <w:rPr/>
      </w:pPr>
      <w:r>
        <w:rPr>
          <w:rStyle w:val="StrongEmphasis"/>
          <w:b w:val="false"/>
          <w:bCs w:val="false"/>
          <w:color w:val="000000"/>
          <w:sz w:val="24"/>
          <w:szCs w:val="24"/>
        </w:rPr>
        <w:t>Gentner, D., &amp; Forbus, K. D. (2011).</w:t>
      </w:r>
      <w:r>
        <w:rPr>
          <w:rStyle w:val="InternetLink"/>
          <w:b w:val="false"/>
          <w:bCs w:val="false"/>
          <w:color w:val="000000"/>
          <w:sz w:val="24"/>
          <w:szCs w:val="24"/>
        </w:rPr>
        <w:t xml:space="preserve"> Computational models of analogy. </w:t>
      </w:r>
      <w:r>
        <w:rPr>
          <w:rStyle w:val="Emphasis"/>
          <w:b w:val="false"/>
          <w:bCs w:val="false"/>
          <w:color w:val="000000"/>
          <w:sz w:val="24"/>
          <w:szCs w:val="24"/>
        </w:rPr>
        <w:t>Wiley Interdisciplinary Reviews: Cognitive Science, 2</w:t>
      </w:r>
      <w:r>
        <w:rPr>
          <w:rStyle w:val="InternetLink"/>
          <w:b w:val="false"/>
          <w:bCs w:val="false"/>
          <w:color w:val="000000"/>
          <w:sz w:val="24"/>
          <w:szCs w:val="24"/>
        </w:rPr>
        <w:t xml:space="preserve">(3), 266–276. </w:t>
      </w:r>
      <w:hyperlink r:id="rId7">
        <w:r>
          <w:rPr>
            <w:rStyle w:val="InternetLink"/>
            <w:b w:val="false"/>
            <w:bCs w:val="false"/>
            <w:color w:val="000000"/>
            <w:sz w:val="24"/>
            <w:szCs w:val="24"/>
          </w:rPr>
          <w:t>https://doi.org/10.1002/wcs.105</w:t>
        </w:r>
      </w:hyperlink>
    </w:p>
    <w:p>
      <w:pPr>
        <w:pStyle w:val="TextBody"/>
        <w:numPr>
          <w:ilvl w:val="0"/>
          <w:numId w:val="0"/>
        </w:numPr>
        <w:spacing w:lineRule="auto" w:line="276"/>
        <w:ind w:left="341" w:hanging="0"/>
        <w:jc w:val="both"/>
        <w:rPr>
          <w:rStyle w:val="InternetLink"/>
          <w:sz w:val="24"/>
          <w:szCs w:val="24"/>
        </w:rPr>
      </w:pPr>
      <w:r>
        <w:rPr>
          <w:sz w:val="24"/>
          <w:szCs w:val="24"/>
        </w:rPr>
      </w:r>
    </w:p>
    <w:p>
      <w:pPr>
        <w:pStyle w:val="TextBody"/>
        <w:numPr>
          <w:ilvl w:val="0"/>
          <w:numId w:val="2"/>
        </w:numPr>
        <w:spacing w:lineRule="auto" w:line="276"/>
        <w:jc w:val="both"/>
        <w:rPr/>
      </w:pPr>
      <w:r>
        <w:rPr>
          <w:rStyle w:val="InternetLink"/>
          <w:b w:val="false"/>
          <w:bCs w:val="false"/>
          <w:sz w:val="24"/>
          <w:szCs w:val="24"/>
        </w:rPr>
        <w:t xml:space="preserve">GradeHunt. (n.d.). </w:t>
      </w:r>
      <w:r>
        <w:rPr>
          <w:rStyle w:val="Emphasis"/>
          <w:b w:val="false"/>
          <w:bCs w:val="false"/>
          <w:sz w:val="24"/>
          <w:szCs w:val="24"/>
        </w:rPr>
        <w:t>ICSE syllabus vs. CBSE syllabus: A comprehensive comparison</w:t>
      </w:r>
      <w:r>
        <w:rPr>
          <w:rStyle w:val="InternetLink"/>
          <w:b w:val="false"/>
          <w:bCs w:val="false"/>
          <w:sz w:val="24"/>
          <w:szCs w:val="24"/>
        </w:rPr>
        <w:t xml:space="preserve">. GradeHunt. Retrieved June 22, 2025, from </w:t>
      </w:r>
      <w:hyperlink r:id="rId8">
        <w:r>
          <w:rPr>
            <w:rStyle w:val="InternetLink"/>
            <w:b w:val="false"/>
            <w:bCs w:val="false"/>
            <w:sz w:val="24"/>
            <w:szCs w:val="24"/>
          </w:rPr>
          <w:t>https://gradehunt.com/blogs/icse-syllabus-vs-cbse-syllabus-a-comprehensive-comparison</w:t>
        </w:r>
      </w:hyperlink>
    </w:p>
    <w:p>
      <w:pPr>
        <w:pStyle w:val="TextBody"/>
        <w:numPr>
          <w:ilvl w:val="0"/>
          <w:numId w:val="2"/>
        </w:numPr>
        <w:spacing w:lineRule="auto" w:line="276"/>
        <w:jc w:val="both"/>
        <w:rPr/>
      </w:pPr>
      <w:r>
        <w:rPr>
          <w:rStyle w:val="InternetLink"/>
          <w:b w:val="false"/>
          <w:bCs w:val="false"/>
          <w:sz w:val="24"/>
          <w:szCs w:val="24"/>
        </w:rPr>
        <w:t xml:space="preserve">Harrison, A. G., &amp; Treagust, D. F. (2006). Teaching and learning with analogies: Friend or foe? In P. J. Aubusson, A. G. Harrison, &amp; S. M. Ritchie (Eds.), </w:t>
      </w:r>
      <w:r>
        <w:rPr>
          <w:rStyle w:val="Emphasis"/>
          <w:b w:val="false"/>
          <w:bCs w:val="false"/>
          <w:sz w:val="24"/>
          <w:szCs w:val="24"/>
        </w:rPr>
        <w:t>Metaphor and analogy in science education</w:t>
      </w:r>
      <w:r>
        <w:rPr>
          <w:rStyle w:val="InternetLink"/>
          <w:b w:val="false"/>
          <w:bCs w:val="false"/>
          <w:sz w:val="24"/>
          <w:szCs w:val="24"/>
        </w:rPr>
        <w:t xml:space="preserve"> (pp. 11–24). Springer. </w:t>
      </w:r>
      <w:hyperlink r:id="rId9">
        <w:r>
          <w:rPr>
            <w:rStyle w:val="InternetLink"/>
            <w:b w:val="false"/>
            <w:bCs w:val="false"/>
            <w:sz w:val="24"/>
            <w:szCs w:val="24"/>
          </w:rPr>
          <w:t>https://doi.org/10.1007/1-4020-3830-5_2</w:t>
        </w:r>
      </w:hyperlink>
    </w:p>
    <w:p>
      <w:pPr>
        <w:pStyle w:val="TextBody"/>
        <w:numPr>
          <w:ilvl w:val="0"/>
          <w:numId w:val="0"/>
        </w:numPr>
        <w:spacing w:lineRule="auto" w:line="276"/>
        <w:ind w:left="341" w:hanging="0"/>
        <w:jc w:val="both"/>
        <w:rPr>
          <w:rStyle w:val="InternetLink"/>
          <w:sz w:val="24"/>
          <w:szCs w:val="24"/>
        </w:rPr>
      </w:pPr>
      <w:r>
        <w:rPr>
          <w:sz w:val="24"/>
          <w:szCs w:val="24"/>
        </w:rPr>
      </w:r>
    </w:p>
    <w:p>
      <w:pPr>
        <w:pStyle w:val="TextBody"/>
        <w:numPr>
          <w:ilvl w:val="0"/>
          <w:numId w:val="2"/>
        </w:numPr>
        <w:spacing w:lineRule="auto" w:line="276"/>
        <w:jc w:val="both"/>
        <w:rPr/>
      </w:pPr>
      <w:r>
        <w:rPr>
          <w:rStyle w:val="InternetLink"/>
          <w:b w:val="false"/>
          <w:bCs w:val="false"/>
          <w:sz w:val="24"/>
          <w:szCs w:val="24"/>
        </w:rPr>
        <w:t xml:space="preserve">Heine, B. (1997). </w:t>
      </w:r>
      <w:r>
        <w:rPr>
          <w:rStyle w:val="Emphasis"/>
          <w:b w:val="false"/>
          <w:bCs w:val="false"/>
          <w:sz w:val="24"/>
          <w:szCs w:val="24"/>
        </w:rPr>
        <w:t>Cognitive foundations of grammar</w:t>
      </w:r>
      <w:r>
        <w:rPr>
          <w:rStyle w:val="InternetLink"/>
          <w:b w:val="false"/>
          <w:bCs w:val="false"/>
          <w:sz w:val="24"/>
          <w:szCs w:val="24"/>
        </w:rPr>
        <w:t>. Oxford University Press.</w:t>
      </w:r>
    </w:p>
    <w:p>
      <w:pPr>
        <w:pStyle w:val="TextBody"/>
        <w:numPr>
          <w:ilvl w:val="0"/>
          <w:numId w:val="0"/>
        </w:numPr>
        <w:spacing w:lineRule="auto" w:line="276"/>
        <w:ind w:left="341" w:hanging="0"/>
        <w:jc w:val="both"/>
        <w:rPr>
          <w:rStyle w:val="InternetLink"/>
          <w:sz w:val="24"/>
          <w:szCs w:val="24"/>
        </w:rPr>
      </w:pPr>
      <w:r>
        <w:rPr>
          <w:sz w:val="24"/>
          <w:szCs w:val="24"/>
        </w:rPr>
      </w:r>
    </w:p>
    <w:p>
      <w:pPr>
        <w:pStyle w:val="Normal"/>
        <w:numPr>
          <w:ilvl w:val="0"/>
          <w:numId w:val="2"/>
        </w:numPr>
        <w:spacing w:lineRule="auto" w:line="276"/>
        <w:jc w:val="both"/>
        <w:rPr/>
      </w:pPr>
      <w:r>
        <w:rPr>
          <w:rStyle w:val="StrongEmphasis"/>
          <w:b w:val="false"/>
          <w:bCs w:val="false"/>
          <w:color w:val="000000"/>
          <w:sz w:val="24"/>
          <w:szCs w:val="24"/>
        </w:rPr>
        <w:t>Hofstadter, D. R., &amp; Mitchell, M. (1994).</w:t>
      </w:r>
      <w:r>
        <w:rPr>
          <w:rStyle w:val="InternetLink"/>
          <w:b w:val="false"/>
          <w:bCs w:val="false"/>
          <w:color w:val="000000"/>
          <w:sz w:val="24"/>
          <w:szCs w:val="24"/>
        </w:rPr>
        <w:t xml:space="preserve"> The Copycat project: A model of mental fluidity and analogy-making. In K. J. Holyoak &amp; J. A. Barnden (Eds.), </w:t>
      </w:r>
      <w:r>
        <w:rPr>
          <w:rStyle w:val="Emphasis"/>
          <w:b w:val="false"/>
          <w:bCs w:val="false"/>
          <w:color w:val="000000"/>
          <w:sz w:val="24"/>
          <w:szCs w:val="24"/>
        </w:rPr>
        <w:t>Analogical connections</w:t>
      </w:r>
      <w:r>
        <w:rPr>
          <w:rStyle w:val="InternetLink"/>
          <w:b w:val="false"/>
          <w:bCs w:val="false"/>
          <w:color w:val="000000"/>
          <w:sz w:val="24"/>
          <w:szCs w:val="24"/>
        </w:rPr>
        <w:t xml:space="preserve"> (pp. 31–112). Ablex Publishing.</w:t>
      </w:r>
    </w:p>
    <w:p>
      <w:pPr>
        <w:pStyle w:val="TextBody"/>
        <w:spacing w:lineRule="auto" w:line="276"/>
        <w:jc w:val="both"/>
        <w:rPr>
          <w:rStyle w:val="InternetLink"/>
          <w:sz w:val="24"/>
          <w:szCs w:val="24"/>
        </w:rPr>
      </w:pPr>
      <w:r>
        <w:rPr>
          <w:sz w:val="24"/>
          <w:szCs w:val="24"/>
        </w:rPr>
      </w:r>
    </w:p>
    <w:p>
      <w:pPr>
        <w:pStyle w:val="TextBody"/>
        <w:numPr>
          <w:ilvl w:val="0"/>
          <w:numId w:val="2"/>
        </w:numPr>
        <w:spacing w:lineRule="auto" w:line="276"/>
        <w:jc w:val="both"/>
        <w:rPr/>
      </w:pPr>
      <w:r>
        <w:rPr>
          <w:rStyle w:val="InternetLink"/>
          <w:b w:val="false"/>
          <w:bCs w:val="false"/>
          <w:sz w:val="24"/>
          <w:szCs w:val="24"/>
        </w:rPr>
        <w:t xml:space="preserve">Justi, R., &amp; Gilbert, J. (2006). The role of analog models in the understanding of the nature of models in chemistry. In P. J. Aubusson, A. G. Harrison, &amp; S. M. Ritchie (Eds.), </w:t>
      </w:r>
      <w:r>
        <w:rPr>
          <w:rStyle w:val="Emphasis"/>
          <w:b w:val="false"/>
          <w:bCs w:val="false"/>
          <w:sz w:val="24"/>
          <w:szCs w:val="24"/>
        </w:rPr>
        <w:t>Metaphor and analogy in science education</w:t>
      </w:r>
      <w:r>
        <w:rPr>
          <w:rStyle w:val="InternetLink"/>
          <w:b w:val="false"/>
          <w:bCs w:val="false"/>
          <w:sz w:val="24"/>
          <w:szCs w:val="24"/>
        </w:rPr>
        <w:t xml:space="preserve"> (pp. 119–130). Springer.</w:t>
      </w:r>
    </w:p>
    <w:p>
      <w:pPr>
        <w:pStyle w:val="TextBody"/>
        <w:numPr>
          <w:ilvl w:val="0"/>
          <w:numId w:val="0"/>
        </w:numPr>
        <w:spacing w:lineRule="auto" w:line="276"/>
        <w:ind w:left="341" w:hanging="0"/>
        <w:jc w:val="both"/>
        <w:rPr>
          <w:rStyle w:val="InternetLink"/>
          <w:sz w:val="24"/>
          <w:szCs w:val="24"/>
        </w:rPr>
      </w:pPr>
      <w:r>
        <w:rPr>
          <w:sz w:val="24"/>
          <w:szCs w:val="24"/>
        </w:rPr>
      </w:r>
    </w:p>
    <w:p>
      <w:pPr>
        <w:pStyle w:val="Normal"/>
        <w:numPr>
          <w:ilvl w:val="0"/>
          <w:numId w:val="2"/>
        </w:numPr>
        <w:spacing w:lineRule="auto" w:line="276"/>
        <w:jc w:val="both"/>
        <w:rPr/>
      </w:pPr>
      <w:r>
        <w:rPr>
          <w:color w:val="000000"/>
        </w:rPr>
        <w:t xml:space="preserve">Keefer, N., &amp; Haj-Broussard, M. (2020). Language in educational contexts. </w:t>
      </w:r>
      <w:r>
        <w:rPr>
          <w:rStyle w:val="Emphasis"/>
          <w:color w:val="000000"/>
        </w:rPr>
        <w:t>Journal of Culture and Values in Education</w:t>
      </w:r>
      <w:r>
        <w:rPr>
          <w:color w:val="000000"/>
        </w:rPr>
        <w:t xml:space="preserve">, </w:t>
      </w:r>
      <w:r>
        <w:rPr>
          <w:rStyle w:val="Emphasis"/>
          <w:color w:val="000000"/>
        </w:rPr>
        <w:t>3</w:t>
      </w:r>
      <w:r>
        <w:rPr>
          <w:color w:val="000000"/>
        </w:rPr>
        <w:t xml:space="preserve">(2), 1–5. </w:t>
      </w:r>
      <w:hyperlink r:id="rId10">
        <w:r>
          <w:rPr>
            <w:rStyle w:val="InternetLink"/>
            <w:color w:val="000000"/>
          </w:rPr>
          <w:t>https://doi.org/10.46303/jcve.2020.9</w:t>
        </w:r>
      </w:hyperlink>
    </w:p>
    <w:p>
      <w:pPr>
        <w:pStyle w:val="Normal"/>
        <w:numPr>
          <w:ilvl w:val="0"/>
          <w:numId w:val="0"/>
        </w:numPr>
        <w:spacing w:lineRule="auto" w:line="276"/>
        <w:ind w:left="341" w:hanging="0"/>
        <w:jc w:val="both"/>
        <w:rPr>
          <w:rStyle w:val="InternetLink"/>
          <w:color w:val="000000"/>
          <w:sz w:val="24"/>
          <w:szCs w:val="24"/>
        </w:rPr>
      </w:pPr>
      <w:r>
        <w:rPr>
          <w:color w:val="000000"/>
          <w:sz w:val="24"/>
          <w:szCs w:val="24"/>
        </w:rPr>
      </w:r>
    </w:p>
    <w:p>
      <w:pPr>
        <w:pStyle w:val="TextBody"/>
        <w:numPr>
          <w:ilvl w:val="0"/>
          <w:numId w:val="0"/>
        </w:numPr>
        <w:spacing w:lineRule="auto" w:line="276"/>
        <w:ind w:left="341" w:hanging="0"/>
        <w:jc w:val="both"/>
        <w:rPr>
          <w:rStyle w:val="InternetLink"/>
          <w:sz w:val="24"/>
          <w:szCs w:val="24"/>
        </w:rPr>
      </w:pPr>
      <w:r>
        <w:rPr>
          <w:sz w:val="24"/>
          <w:szCs w:val="24"/>
        </w:rPr>
      </w:r>
    </w:p>
    <w:p>
      <w:pPr>
        <w:pStyle w:val="TextBody"/>
        <w:numPr>
          <w:ilvl w:val="0"/>
          <w:numId w:val="2"/>
        </w:numPr>
        <w:spacing w:lineRule="auto" w:line="276"/>
        <w:jc w:val="both"/>
        <w:rPr/>
      </w:pPr>
      <w:r>
        <w:rPr>
          <w:sz w:val="24"/>
          <w:szCs w:val="24"/>
        </w:rPr>
        <w:t xml:space="preserve">Langacker, R. W. (1987). </w:t>
      </w:r>
      <w:r>
        <w:rPr>
          <w:rStyle w:val="Emphasis"/>
          <w:sz w:val="24"/>
          <w:szCs w:val="24"/>
        </w:rPr>
        <w:t>Foundations of cognitive grammar. Vol. 1, Theoretical prerequisites</w:t>
      </w:r>
      <w:r>
        <w:rPr>
          <w:sz w:val="24"/>
          <w:szCs w:val="24"/>
        </w:rPr>
        <w:t>. Stanford University Press.</w:t>
      </w:r>
    </w:p>
    <w:p>
      <w:pPr>
        <w:pStyle w:val="TextBody"/>
        <w:numPr>
          <w:ilvl w:val="0"/>
          <w:numId w:val="0"/>
        </w:numPr>
        <w:spacing w:lineRule="auto" w:line="276"/>
        <w:ind w:left="341" w:hanging="0"/>
        <w:jc w:val="both"/>
        <w:rPr>
          <w:sz w:val="24"/>
          <w:szCs w:val="24"/>
        </w:rPr>
      </w:pPr>
      <w:r>
        <w:rPr>
          <w:sz w:val="24"/>
          <w:szCs w:val="24"/>
        </w:rPr>
      </w:r>
    </w:p>
    <w:p>
      <w:pPr>
        <w:pStyle w:val="TextBody"/>
        <w:numPr>
          <w:ilvl w:val="0"/>
          <w:numId w:val="2"/>
        </w:numPr>
        <w:spacing w:lineRule="auto" w:line="276"/>
        <w:jc w:val="both"/>
        <w:rPr/>
      </w:pPr>
      <w:r>
        <w:rPr>
          <w:sz w:val="24"/>
          <w:szCs w:val="24"/>
        </w:rPr>
        <w:t xml:space="preserve">Langacker, R. W. (1990). </w:t>
      </w:r>
      <w:r>
        <w:rPr>
          <w:rStyle w:val="Emphasis"/>
          <w:sz w:val="24"/>
          <w:szCs w:val="24"/>
        </w:rPr>
        <w:t>Concept, image, and symbol: The cognitive basis of grammar</w:t>
      </w:r>
      <w:r>
        <w:rPr>
          <w:sz w:val="24"/>
          <w:szCs w:val="24"/>
        </w:rPr>
        <w:t>. Walter de Gruyter.</w:t>
      </w:r>
    </w:p>
    <w:p>
      <w:pPr>
        <w:pStyle w:val="TextBody"/>
        <w:numPr>
          <w:ilvl w:val="0"/>
          <w:numId w:val="0"/>
        </w:numPr>
        <w:spacing w:lineRule="auto" w:line="276"/>
        <w:ind w:left="341" w:hanging="0"/>
        <w:jc w:val="both"/>
        <w:rPr>
          <w:sz w:val="24"/>
          <w:szCs w:val="24"/>
        </w:rPr>
      </w:pPr>
      <w:r>
        <w:rPr>
          <w:sz w:val="24"/>
          <w:szCs w:val="24"/>
        </w:rPr>
      </w:r>
    </w:p>
    <w:p>
      <w:pPr>
        <w:pStyle w:val="TextBody"/>
        <w:numPr>
          <w:ilvl w:val="0"/>
          <w:numId w:val="2"/>
        </w:numPr>
        <w:spacing w:lineRule="auto" w:line="276"/>
        <w:jc w:val="both"/>
        <w:rPr/>
      </w:pPr>
      <w:r>
        <w:rPr>
          <w:b w:val="false"/>
          <w:bCs w:val="false"/>
          <w:sz w:val="24"/>
          <w:szCs w:val="24"/>
        </w:rPr>
        <w:t xml:space="preserve">Langacker, R. W. (2012). </w:t>
      </w:r>
      <w:r>
        <w:rPr>
          <w:rStyle w:val="Emphasis"/>
          <w:b w:val="false"/>
          <w:bCs w:val="false"/>
          <w:sz w:val="24"/>
          <w:szCs w:val="24"/>
        </w:rPr>
        <w:t>Descriptive application: Ronald W. Langacker</w:t>
      </w:r>
      <w:r>
        <w:rPr>
          <w:b w:val="false"/>
          <w:bCs w:val="false"/>
          <w:sz w:val="24"/>
          <w:szCs w:val="24"/>
        </w:rPr>
        <w:t>. Stanford University Press.</w:t>
      </w:r>
    </w:p>
    <w:p>
      <w:pPr>
        <w:pStyle w:val="TextBody"/>
        <w:numPr>
          <w:ilvl w:val="0"/>
          <w:numId w:val="0"/>
        </w:numPr>
        <w:spacing w:lineRule="auto" w:line="276"/>
        <w:ind w:left="341" w:hanging="0"/>
        <w:jc w:val="both"/>
        <w:rPr>
          <w:b w:val="false"/>
          <w:b w:val="false"/>
          <w:bCs w:val="false"/>
          <w:sz w:val="24"/>
          <w:szCs w:val="24"/>
        </w:rPr>
      </w:pPr>
      <w:r>
        <w:rPr>
          <w:b w:val="false"/>
          <w:bCs w:val="false"/>
          <w:sz w:val="24"/>
          <w:szCs w:val="24"/>
        </w:rPr>
      </w:r>
    </w:p>
    <w:p>
      <w:pPr>
        <w:pStyle w:val="TextBody"/>
        <w:numPr>
          <w:ilvl w:val="0"/>
          <w:numId w:val="2"/>
        </w:numPr>
        <w:spacing w:lineRule="auto" w:line="276"/>
        <w:jc w:val="both"/>
        <w:rPr/>
      </w:pPr>
      <w:r>
        <w:rPr>
          <w:b w:val="false"/>
          <w:bCs w:val="false"/>
          <w:sz w:val="24"/>
          <w:szCs w:val="24"/>
        </w:rPr>
        <w:t xml:space="preserve">Langacker, R. W. (2009). </w:t>
      </w:r>
      <w:r>
        <w:rPr>
          <w:rStyle w:val="Emphasis"/>
          <w:b w:val="false"/>
          <w:bCs w:val="false"/>
          <w:sz w:val="24"/>
          <w:szCs w:val="24"/>
        </w:rPr>
        <w:t>Investigations in cognitive grammar</w:t>
      </w:r>
      <w:r>
        <w:rPr>
          <w:b w:val="false"/>
          <w:bCs w:val="false"/>
          <w:sz w:val="24"/>
          <w:szCs w:val="24"/>
        </w:rPr>
        <w:t>. Mouton de Gruyter.</w:t>
      </w:r>
    </w:p>
    <w:p>
      <w:pPr>
        <w:pStyle w:val="TextBody"/>
        <w:numPr>
          <w:ilvl w:val="0"/>
          <w:numId w:val="0"/>
        </w:numPr>
        <w:spacing w:lineRule="auto" w:line="276"/>
        <w:ind w:left="341" w:hanging="0"/>
        <w:jc w:val="both"/>
        <w:rPr>
          <w:b w:val="false"/>
          <w:b w:val="false"/>
          <w:bCs w:val="false"/>
          <w:sz w:val="24"/>
          <w:szCs w:val="24"/>
        </w:rPr>
      </w:pPr>
      <w:r>
        <w:rPr>
          <w:b w:val="false"/>
          <w:bCs w:val="false"/>
          <w:sz w:val="24"/>
          <w:szCs w:val="24"/>
        </w:rPr>
      </w:r>
    </w:p>
    <w:p>
      <w:pPr>
        <w:pStyle w:val="TextBody"/>
        <w:numPr>
          <w:ilvl w:val="0"/>
          <w:numId w:val="2"/>
        </w:numPr>
        <w:spacing w:lineRule="auto" w:line="276"/>
        <w:jc w:val="both"/>
        <w:rPr/>
      </w:pPr>
      <w:r>
        <w:rPr>
          <w:b w:val="false"/>
          <w:bCs w:val="false"/>
          <w:sz w:val="24"/>
          <w:szCs w:val="24"/>
        </w:rPr>
        <w:t xml:space="preserve">Langacker, R. W. (2017). </w:t>
      </w:r>
      <w:r>
        <w:rPr>
          <w:rStyle w:val="Emphasis"/>
          <w:b w:val="false"/>
          <w:bCs w:val="false"/>
          <w:sz w:val="24"/>
          <w:szCs w:val="24"/>
        </w:rPr>
        <w:t>Ten lectures on the basics of cognitive grammar</w:t>
      </w:r>
      <w:r>
        <w:rPr>
          <w:b w:val="false"/>
          <w:bCs w:val="false"/>
          <w:sz w:val="24"/>
          <w:szCs w:val="24"/>
        </w:rPr>
        <w:t>. Brill.</w:t>
      </w:r>
    </w:p>
    <w:p>
      <w:pPr>
        <w:pStyle w:val="TextBody"/>
        <w:numPr>
          <w:ilvl w:val="0"/>
          <w:numId w:val="0"/>
        </w:numPr>
        <w:spacing w:lineRule="auto" w:line="276"/>
        <w:ind w:left="341" w:hanging="0"/>
        <w:jc w:val="both"/>
        <w:rPr>
          <w:b w:val="false"/>
          <w:b w:val="false"/>
          <w:bCs w:val="false"/>
          <w:sz w:val="24"/>
          <w:szCs w:val="24"/>
        </w:rPr>
      </w:pPr>
      <w:r>
        <w:rPr>
          <w:b w:val="false"/>
          <w:bCs w:val="false"/>
          <w:sz w:val="24"/>
          <w:szCs w:val="24"/>
        </w:rPr>
      </w:r>
    </w:p>
    <w:p>
      <w:pPr>
        <w:pStyle w:val="TextBody"/>
        <w:numPr>
          <w:ilvl w:val="0"/>
          <w:numId w:val="2"/>
        </w:numPr>
        <w:spacing w:lineRule="auto" w:line="276"/>
        <w:jc w:val="both"/>
        <w:rPr/>
      </w:pPr>
      <w:r>
        <w:rPr>
          <w:rStyle w:val="InternetLink"/>
          <w:b w:val="false"/>
          <w:bCs w:val="false"/>
          <w:sz w:val="24"/>
          <w:szCs w:val="24"/>
        </w:rPr>
        <w:t xml:space="preserve">Langacker, R. W. (2017). </w:t>
      </w:r>
      <w:r>
        <w:rPr>
          <w:rStyle w:val="Emphasis"/>
          <w:b w:val="false"/>
          <w:bCs w:val="false"/>
          <w:sz w:val="24"/>
          <w:szCs w:val="24"/>
        </w:rPr>
        <w:t>Ten lectures on the elaboration of cognitive grammar</w:t>
      </w:r>
      <w:r>
        <w:rPr>
          <w:rStyle w:val="InternetLink"/>
          <w:b w:val="false"/>
          <w:bCs w:val="false"/>
          <w:sz w:val="24"/>
          <w:szCs w:val="24"/>
        </w:rPr>
        <w:t>. Brill.</w:t>
      </w:r>
    </w:p>
    <w:p>
      <w:pPr>
        <w:pStyle w:val="TextBody"/>
        <w:numPr>
          <w:ilvl w:val="0"/>
          <w:numId w:val="0"/>
        </w:numPr>
        <w:spacing w:lineRule="auto" w:line="276"/>
        <w:ind w:left="341" w:hanging="0"/>
        <w:jc w:val="both"/>
        <w:rPr>
          <w:rStyle w:val="InternetLink"/>
          <w:b w:val="false"/>
          <w:b w:val="false"/>
          <w:bCs w:val="false"/>
          <w:sz w:val="24"/>
          <w:szCs w:val="24"/>
        </w:rPr>
      </w:pPr>
      <w:r>
        <w:rPr/>
      </w:r>
    </w:p>
    <w:p>
      <w:pPr>
        <w:pStyle w:val="TextBody"/>
        <w:numPr>
          <w:ilvl w:val="0"/>
          <w:numId w:val="2"/>
        </w:numPr>
        <w:spacing w:lineRule="auto" w:line="276"/>
        <w:jc w:val="both"/>
        <w:rPr>
          <w:rStyle w:val="InternetLink"/>
          <w:b w:val="false"/>
          <w:b w:val="false"/>
          <w:bCs w:val="false"/>
          <w:sz w:val="24"/>
          <w:szCs w:val="24"/>
        </w:rPr>
      </w:pPr>
      <w:r>
        <w:rPr>
          <w:rStyle w:val="InternetLink"/>
          <w:b w:val="false"/>
          <w:bCs w:val="false"/>
          <w:sz w:val="24"/>
          <w:szCs w:val="24"/>
        </w:rPr>
        <w:t xml:space="preserve">Lemke, J. L. (2001). </w:t>
      </w:r>
      <w:r>
        <w:rPr>
          <w:rStyle w:val="Emphasis"/>
          <w:b w:val="false"/>
          <w:bCs w:val="false"/>
          <w:sz w:val="24"/>
          <w:szCs w:val="24"/>
        </w:rPr>
        <w:t>Articulating communities: Sociocultural perspectives on science education</w:t>
      </w:r>
      <w:r>
        <w:rPr>
          <w:rStyle w:val="InternetLink"/>
          <w:b w:val="false"/>
          <w:bCs w:val="false"/>
          <w:sz w:val="24"/>
          <w:szCs w:val="24"/>
        </w:rPr>
        <w:t xml:space="preserve">. </w:t>
      </w:r>
      <w:r>
        <w:rPr>
          <w:rStyle w:val="Emphasis"/>
          <w:b w:val="false"/>
          <w:bCs w:val="false"/>
          <w:sz w:val="24"/>
          <w:szCs w:val="24"/>
        </w:rPr>
        <w:t>Journal of Research in Science Teaching, 38</w:t>
      </w:r>
      <w:r>
        <w:rPr>
          <w:rStyle w:val="InternetLink"/>
          <w:b w:val="false"/>
          <w:bCs w:val="false"/>
          <w:sz w:val="24"/>
          <w:szCs w:val="24"/>
        </w:rPr>
        <w:t xml:space="preserve">(3), 296–316. https://doi.org/10.1002/1098-2736(200103)38:3&lt;296::AID-TEA1007&gt;3.0.CO;2-9 </w:t>
      </w:r>
    </w:p>
    <w:p>
      <w:pPr>
        <w:pStyle w:val="TextBody"/>
        <w:numPr>
          <w:ilvl w:val="0"/>
          <w:numId w:val="0"/>
        </w:numPr>
        <w:spacing w:lineRule="auto" w:line="276"/>
        <w:ind w:left="341" w:hanging="0"/>
        <w:jc w:val="both"/>
        <w:rPr>
          <w:rStyle w:val="InternetLink"/>
          <w:b w:val="false"/>
          <w:b w:val="false"/>
          <w:bCs w:val="false"/>
          <w:sz w:val="24"/>
          <w:szCs w:val="24"/>
        </w:rPr>
      </w:pPr>
      <w:r>
        <w:rPr>
          <w:b w:val="false"/>
          <w:bCs w:val="false"/>
          <w:sz w:val="24"/>
          <w:szCs w:val="24"/>
        </w:rPr>
      </w:r>
    </w:p>
    <w:p>
      <w:pPr>
        <w:pStyle w:val="TextBody"/>
        <w:numPr>
          <w:ilvl w:val="0"/>
          <w:numId w:val="2"/>
        </w:numPr>
        <w:spacing w:lineRule="auto" w:line="276"/>
        <w:jc w:val="both"/>
        <w:rPr/>
      </w:pPr>
      <w:r>
        <w:rPr>
          <w:rStyle w:val="InternetLink"/>
          <w:b w:val="false"/>
          <w:bCs w:val="false"/>
          <w:sz w:val="24"/>
          <w:szCs w:val="24"/>
        </w:rPr>
        <w:t xml:space="preserve"> </w:t>
      </w:r>
      <w:r>
        <w:rPr>
          <w:rStyle w:val="InternetLink"/>
          <w:sz w:val="24"/>
          <w:szCs w:val="24"/>
        </w:rPr>
        <w:t xml:space="preserve">Merriam-Webster. (n.d.). </w:t>
      </w:r>
      <w:r>
        <w:rPr>
          <w:rStyle w:val="Emphasis"/>
          <w:sz w:val="24"/>
          <w:szCs w:val="24"/>
        </w:rPr>
        <w:t>Cluster</w:t>
      </w:r>
      <w:r>
        <w:rPr>
          <w:rStyle w:val="InternetLink"/>
          <w:sz w:val="24"/>
          <w:szCs w:val="24"/>
        </w:rPr>
        <w:t xml:space="preserve">. In </w:t>
      </w:r>
      <w:r>
        <w:rPr>
          <w:rStyle w:val="Emphasis"/>
          <w:sz w:val="24"/>
          <w:szCs w:val="24"/>
        </w:rPr>
        <w:t>Merriam-Webster.com dictionary</w:t>
      </w:r>
      <w:r>
        <w:rPr>
          <w:rStyle w:val="InternetLink"/>
          <w:sz w:val="24"/>
          <w:szCs w:val="24"/>
        </w:rPr>
        <w:t>. Retrieved July 15, 2025, from https://www.merriam-webster.com/dictionary/cluster</w:t>
      </w:r>
    </w:p>
    <w:p>
      <w:pPr>
        <w:pStyle w:val="TextBody"/>
        <w:numPr>
          <w:ilvl w:val="0"/>
          <w:numId w:val="0"/>
        </w:numPr>
        <w:spacing w:lineRule="auto" w:line="276"/>
        <w:ind w:left="341" w:hanging="0"/>
        <w:jc w:val="both"/>
        <w:rPr>
          <w:rStyle w:val="InternetLink"/>
          <w:sz w:val="24"/>
          <w:szCs w:val="24"/>
        </w:rPr>
      </w:pPr>
      <w:r>
        <w:rPr>
          <w:sz w:val="24"/>
          <w:szCs w:val="24"/>
        </w:rPr>
      </w:r>
    </w:p>
    <w:p>
      <w:pPr>
        <w:pStyle w:val="Normal"/>
        <w:numPr>
          <w:ilvl w:val="0"/>
          <w:numId w:val="2"/>
        </w:numPr>
        <w:spacing w:lineRule="auto" w:line="276"/>
        <w:jc w:val="both"/>
        <w:rPr/>
      </w:pPr>
      <w:r>
        <w:rPr>
          <w:color w:val="000000"/>
        </w:rPr>
        <w:t xml:space="preserve">Mishra, S. K., &amp; Mishra, P. (2024). </w:t>
      </w:r>
      <w:r>
        <w:rPr>
          <w:rStyle w:val="Emphasis"/>
          <w:color w:val="000000"/>
        </w:rPr>
        <w:t>National Education Policy 2020 and multilingualism in India</w:t>
      </w:r>
      <w:r>
        <w:rPr>
          <w:color w:val="000000"/>
        </w:rPr>
        <w:t xml:space="preserve">. </w:t>
      </w:r>
      <w:r>
        <w:rPr>
          <w:rStyle w:val="Emphasis"/>
          <w:color w:val="000000"/>
        </w:rPr>
        <w:t>International Journal of English Literature and Social Sciences</w:t>
      </w:r>
      <w:r>
        <w:rPr>
          <w:color w:val="000000"/>
        </w:rPr>
        <w:t xml:space="preserve">, </w:t>
      </w:r>
      <w:r>
        <w:rPr>
          <w:rStyle w:val="Emphasis"/>
          <w:color w:val="000000"/>
        </w:rPr>
        <w:t>9</w:t>
      </w:r>
      <w:r>
        <w:rPr>
          <w:color w:val="000000"/>
        </w:rPr>
        <w:t xml:space="preserve">(1), 46–52. </w:t>
      </w:r>
      <w:hyperlink r:id="rId12">
        <w:r>
          <w:rPr>
            <w:rStyle w:val="InternetLink"/>
            <w:color w:val="000000"/>
          </w:rPr>
          <w:t>https://ijels.com/upload_document/issue_files/46IJELS-10202457-National.pdf</w:t>
        </w:r>
      </w:hyperlink>
    </w:p>
    <w:p>
      <w:pPr>
        <w:pStyle w:val="Normal"/>
        <w:numPr>
          <w:ilvl w:val="0"/>
          <w:numId w:val="2"/>
        </w:numPr>
        <w:spacing w:lineRule="auto" w:line="276"/>
        <w:jc w:val="both"/>
        <w:rPr>
          <w:rStyle w:val="InternetLink"/>
          <w:color w:val="000000"/>
        </w:rPr>
      </w:pPr>
      <w:r>
        <w:rPr>
          <w:rStyle w:val="InternetLink"/>
          <w:color w:val="000000"/>
        </w:rPr>
        <w:t xml:space="preserve">Flores, N., &amp; Rosa, J. (2015). </w:t>
      </w:r>
      <w:r>
        <w:rPr>
          <w:rStyle w:val="Emphasis"/>
          <w:color w:val="000000"/>
        </w:rPr>
        <w:t>Undoing appropriateness: Raciolinguistic ideologies and language diversity in education</w:t>
      </w:r>
      <w:r>
        <w:rPr>
          <w:rStyle w:val="InternetLink"/>
          <w:color w:val="000000"/>
        </w:rPr>
        <w:t xml:space="preserve">. </w:t>
      </w:r>
      <w:r>
        <w:rPr>
          <w:rStyle w:val="Emphasis"/>
          <w:color w:val="000000"/>
        </w:rPr>
        <w:t>Harvard Educational Review, 85</w:t>
      </w:r>
      <w:r>
        <w:rPr>
          <w:rStyle w:val="InternetLink"/>
          <w:color w:val="000000"/>
        </w:rPr>
        <w:t xml:space="preserve">(2), 149–171. https://doi.org/10.17763/0017-8055.85.2.149 </w:t>
      </w:r>
    </w:p>
    <w:p>
      <w:pPr>
        <w:pStyle w:val="TextBody"/>
        <w:numPr>
          <w:ilvl w:val="0"/>
          <w:numId w:val="0"/>
        </w:numPr>
        <w:spacing w:lineRule="auto" w:line="276"/>
        <w:ind w:left="341" w:hanging="0"/>
        <w:jc w:val="both"/>
        <w:rPr>
          <w:rStyle w:val="InternetLink"/>
          <w:sz w:val="24"/>
          <w:szCs w:val="24"/>
        </w:rPr>
      </w:pPr>
      <w:r>
        <w:rPr>
          <w:sz w:val="24"/>
          <w:szCs w:val="24"/>
        </w:rPr>
      </w:r>
    </w:p>
    <w:p>
      <w:pPr>
        <w:pStyle w:val="TextBody"/>
        <w:spacing w:lineRule="auto" w:line="276"/>
        <w:jc w:val="both"/>
        <w:rPr>
          <w:rStyle w:val="InternetLink"/>
          <w:sz w:val="24"/>
          <w:szCs w:val="24"/>
        </w:rPr>
      </w:pPr>
      <w:r>
        <w:rPr>
          <w:sz w:val="24"/>
          <w:szCs w:val="24"/>
        </w:rPr>
      </w:r>
    </w:p>
    <w:p>
      <w:pPr>
        <w:pStyle w:val="TextBody"/>
        <w:numPr>
          <w:ilvl w:val="0"/>
          <w:numId w:val="2"/>
        </w:numPr>
        <w:spacing w:lineRule="auto" w:line="276"/>
        <w:jc w:val="both"/>
        <w:rPr/>
      </w:pPr>
      <w:r>
        <w:rPr>
          <w:rStyle w:val="InternetLink"/>
          <w:b w:val="false"/>
          <w:bCs w:val="false"/>
          <w:sz w:val="24"/>
          <w:szCs w:val="24"/>
        </w:rPr>
        <w:t xml:space="preserve">Norton, A., &amp; D'Ambrosio, B. S. (2008). </w:t>
      </w:r>
      <w:r>
        <w:rPr>
          <w:rStyle w:val="Emphasis"/>
          <w:b w:val="false"/>
          <w:bCs w:val="false"/>
          <w:sz w:val="24"/>
          <w:szCs w:val="24"/>
        </w:rPr>
        <w:t>ZPC and ZPD: Zones of teaching and learning</w:t>
      </w:r>
      <w:r>
        <w:rPr>
          <w:rStyle w:val="InternetLink"/>
          <w:b w:val="false"/>
          <w:bCs w:val="false"/>
          <w:sz w:val="24"/>
          <w:szCs w:val="24"/>
        </w:rPr>
        <w:t xml:space="preserve">. </w:t>
      </w:r>
      <w:r>
        <w:rPr>
          <w:rStyle w:val="Emphasis"/>
          <w:b w:val="false"/>
          <w:bCs w:val="false"/>
          <w:sz w:val="24"/>
          <w:szCs w:val="24"/>
        </w:rPr>
        <w:t>Journal for Research in Mathematics Education, 39</w:t>
      </w:r>
      <w:r>
        <w:rPr>
          <w:rStyle w:val="InternetLink"/>
          <w:b w:val="false"/>
          <w:bCs w:val="false"/>
          <w:sz w:val="24"/>
          <w:szCs w:val="24"/>
        </w:rPr>
        <w:t>(3), 220–246.</w:t>
      </w:r>
    </w:p>
    <w:p>
      <w:pPr>
        <w:pStyle w:val="TextBody"/>
        <w:numPr>
          <w:ilvl w:val="0"/>
          <w:numId w:val="0"/>
        </w:numPr>
        <w:spacing w:lineRule="auto" w:line="276"/>
        <w:ind w:left="341" w:hanging="0"/>
        <w:jc w:val="both"/>
        <w:rPr>
          <w:rStyle w:val="InternetLink"/>
          <w:b w:val="false"/>
          <w:b w:val="false"/>
          <w:bCs w:val="false"/>
          <w:sz w:val="24"/>
          <w:szCs w:val="24"/>
        </w:rPr>
      </w:pPr>
      <w:r>
        <w:rPr/>
      </w:r>
    </w:p>
    <w:p>
      <w:pPr>
        <w:pStyle w:val="TextBody"/>
        <w:numPr>
          <w:ilvl w:val="0"/>
          <w:numId w:val="2"/>
        </w:numPr>
        <w:spacing w:lineRule="auto" w:line="276"/>
        <w:jc w:val="both"/>
        <w:rPr/>
      </w:pPr>
      <w:r>
        <w:rPr/>
        <w:t xml:space="preserve">Lee, O. (2003). </w:t>
      </w:r>
      <w:r>
        <w:rPr>
          <w:rStyle w:val="Emphasis"/>
        </w:rPr>
        <w:t>Equity for linguistically and culturally diverse students in science education: A research agenda</w:t>
      </w:r>
      <w:r>
        <w:rPr/>
        <w:t xml:space="preserve">. </w:t>
      </w:r>
      <w:r>
        <w:rPr>
          <w:rStyle w:val="Emphasis"/>
        </w:rPr>
        <w:t>Teachers College Record, 105</w:t>
      </w:r>
      <w:r>
        <w:rPr/>
        <w:t xml:space="preserve">(3), 465–489. https://eric.ed.gov/?id=EJ673920 </w:t>
      </w:r>
    </w:p>
    <w:p>
      <w:pPr>
        <w:pStyle w:val="TextBody"/>
        <w:numPr>
          <w:ilvl w:val="0"/>
          <w:numId w:val="0"/>
        </w:numPr>
        <w:spacing w:lineRule="auto" w:line="276"/>
        <w:ind w:left="341" w:hanging="0"/>
        <w:jc w:val="both"/>
        <w:rPr>
          <w:rStyle w:val="InternetLink"/>
          <w:sz w:val="24"/>
          <w:szCs w:val="24"/>
        </w:rPr>
      </w:pPr>
      <w:r>
        <w:rPr>
          <w:sz w:val="24"/>
          <w:szCs w:val="24"/>
        </w:rPr>
      </w:r>
    </w:p>
    <w:p>
      <w:pPr>
        <w:pStyle w:val="Normal"/>
        <w:numPr>
          <w:ilvl w:val="0"/>
          <w:numId w:val="2"/>
        </w:numPr>
        <w:spacing w:lineRule="auto" w:line="276"/>
        <w:jc w:val="both"/>
        <w:rPr/>
      </w:pPr>
      <w:r>
        <w:rPr>
          <w:rStyle w:val="InternetLink"/>
          <w:b w:val="false"/>
          <w:bCs w:val="false"/>
          <w:sz w:val="24"/>
          <w:szCs w:val="24"/>
        </w:rPr>
        <w:t xml:space="preserve"> </w:t>
      </w:r>
      <w:r>
        <w:rPr>
          <w:rStyle w:val="StrongEmphasis"/>
          <w:b w:val="false"/>
          <w:bCs w:val="false"/>
          <w:sz w:val="24"/>
          <w:szCs w:val="24"/>
        </w:rPr>
        <w:t>Ott, C. (2025)</w:t>
      </w:r>
      <w:r>
        <w:rPr>
          <w:rStyle w:val="StrongEmphasis"/>
          <w:b/>
          <w:bCs/>
          <w:sz w:val="24"/>
          <w:szCs w:val="24"/>
        </w:rPr>
        <w:t>.</w:t>
      </w:r>
      <w:r>
        <w:rPr>
          <w:rStyle w:val="InternetLink"/>
          <w:b/>
          <w:bCs/>
          <w:sz w:val="24"/>
          <w:szCs w:val="24"/>
        </w:rPr>
        <w:t xml:space="preserve"> </w:t>
      </w:r>
      <w:r>
        <w:rPr>
          <w:rStyle w:val="InternetLink"/>
          <w:b w:val="false"/>
          <w:bCs w:val="false"/>
          <w:sz w:val="24"/>
          <w:szCs w:val="24"/>
        </w:rPr>
        <w:t xml:space="preserve">Structural similarity: Formalizing analogies using category theory. </w:t>
      </w:r>
      <w:r>
        <w:rPr>
          <w:rStyle w:val="Emphasis"/>
          <w:b w:val="false"/>
          <w:bCs w:val="false"/>
          <w:sz w:val="24"/>
          <w:szCs w:val="24"/>
        </w:rPr>
        <w:t>Logics, 3</w:t>
      </w:r>
      <w:r>
        <w:rPr>
          <w:rStyle w:val="InternetLink"/>
          <w:b w:val="false"/>
          <w:bCs w:val="false"/>
          <w:sz w:val="24"/>
          <w:szCs w:val="24"/>
        </w:rPr>
        <w:t>(4), Article 12. https://doi.org/10.3390/logics3040012</w:t>
      </w:r>
    </w:p>
    <w:p>
      <w:pPr>
        <w:pStyle w:val="Normal"/>
        <w:numPr>
          <w:ilvl w:val="0"/>
          <w:numId w:val="0"/>
        </w:numPr>
        <w:spacing w:lineRule="auto" w:line="276"/>
        <w:ind w:left="341" w:hanging="0"/>
        <w:jc w:val="both"/>
        <w:rPr>
          <w:rStyle w:val="InternetLink"/>
          <w:sz w:val="24"/>
          <w:szCs w:val="24"/>
        </w:rPr>
      </w:pPr>
      <w:r>
        <w:rPr>
          <w:sz w:val="24"/>
          <w:szCs w:val="24"/>
        </w:rPr>
      </w:r>
    </w:p>
    <w:p>
      <w:pPr>
        <w:pStyle w:val="Normal"/>
        <w:numPr>
          <w:ilvl w:val="0"/>
          <w:numId w:val="2"/>
        </w:numPr>
        <w:spacing w:lineRule="auto" w:line="276"/>
        <w:jc w:val="both"/>
        <w:rPr/>
      </w:pPr>
      <w:r>
        <w:rPr>
          <w:rStyle w:val="StrongEmphasis"/>
          <w:b w:val="false"/>
          <w:bCs w:val="false"/>
          <w:sz w:val="24"/>
          <w:szCs w:val="24"/>
        </w:rPr>
        <w:t xml:space="preserve">Pacaci, C., &amp; Ustun, U. (2023). </w:t>
      </w:r>
      <w:r>
        <w:rPr>
          <w:rStyle w:val="Emphasis"/>
          <w:b w:val="false"/>
          <w:bCs w:val="false"/>
          <w:sz w:val="24"/>
          <w:szCs w:val="24"/>
        </w:rPr>
        <w:t>Effectiveness of conceptual change strategies in science education: A meta‐analysis</w:t>
      </w:r>
      <w:r>
        <w:rPr>
          <w:rStyle w:val="StrongEmphasis"/>
          <w:b w:val="false"/>
          <w:bCs w:val="false"/>
          <w:sz w:val="24"/>
          <w:szCs w:val="24"/>
        </w:rPr>
        <w:t xml:space="preserve">. Journal of Research in Science Teaching, 60(9), 1433–1462. </w:t>
      </w:r>
      <w:hyperlink r:id="rId13">
        <w:r>
          <w:rPr>
            <w:rStyle w:val="StrongEmphasis"/>
            <w:b w:val="false"/>
            <w:bCs w:val="false"/>
            <w:sz w:val="24"/>
            <w:szCs w:val="24"/>
          </w:rPr>
          <w:t>https://doi.org/10.1002/tea.21887</w:t>
        </w:r>
      </w:hyperlink>
    </w:p>
    <w:p>
      <w:pPr>
        <w:pStyle w:val="TextBody"/>
        <w:numPr>
          <w:ilvl w:val="0"/>
          <w:numId w:val="0"/>
        </w:numPr>
        <w:spacing w:lineRule="auto" w:line="276"/>
        <w:ind w:left="341" w:hanging="0"/>
        <w:jc w:val="both"/>
        <w:rPr>
          <w:rStyle w:val="InternetLink"/>
          <w:sz w:val="24"/>
          <w:szCs w:val="24"/>
        </w:rPr>
      </w:pPr>
      <w:r>
        <w:rPr>
          <w:sz w:val="24"/>
          <w:szCs w:val="24"/>
        </w:rPr>
      </w:r>
    </w:p>
    <w:p>
      <w:pPr>
        <w:pStyle w:val="TextBody"/>
        <w:numPr>
          <w:ilvl w:val="0"/>
          <w:numId w:val="2"/>
        </w:numPr>
        <w:spacing w:lineRule="auto" w:line="276"/>
        <w:jc w:val="both"/>
        <w:rPr/>
      </w:pPr>
      <w:r>
        <w:rPr>
          <w:rStyle w:val="InternetLink"/>
          <w:b w:val="false"/>
          <w:bCs w:val="false"/>
          <w:sz w:val="24"/>
          <w:szCs w:val="24"/>
        </w:rPr>
        <w:t xml:space="preserve">Oxford University Press. (n.d.). </w:t>
      </w:r>
      <w:r>
        <w:rPr>
          <w:rStyle w:val="Emphasis"/>
          <w:b w:val="false"/>
          <w:bCs w:val="false"/>
          <w:sz w:val="24"/>
          <w:szCs w:val="24"/>
        </w:rPr>
        <w:t>Cluster</w:t>
      </w:r>
      <w:r>
        <w:rPr>
          <w:rStyle w:val="InternetLink"/>
          <w:b w:val="false"/>
          <w:bCs w:val="false"/>
          <w:sz w:val="24"/>
          <w:szCs w:val="24"/>
        </w:rPr>
        <w:t xml:space="preserve">. In </w:t>
      </w:r>
      <w:r>
        <w:rPr>
          <w:rStyle w:val="Emphasis"/>
          <w:b w:val="false"/>
          <w:bCs w:val="false"/>
          <w:sz w:val="24"/>
          <w:szCs w:val="24"/>
        </w:rPr>
        <w:t>Oxford Advanced Learner’s Dictionary</w:t>
      </w:r>
      <w:r>
        <w:rPr>
          <w:rStyle w:val="InternetLink"/>
          <w:b w:val="false"/>
          <w:bCs w:val="false"/>
          <w:sz w:val="24"/>
          <w:szCs w:val="24"/>
        </w:rPr>
        <w:t>. Retrieved July 15, 2025, from https://www.oxfordlearnersdictionaries.com/definition/english/cluster</w:t>
      </w:r>
    </w:p>
    <w:p>
      <w:pPr>
        <w:pStyle w:val="TextBody"/>
        <w:numPr>
          <w:ilvl w:val="0"/>
          <w:numId w:val="0"/>
        </w:numPr>
        <w:spacing w:lineRule="auto" w:line="276"/>
        <w:ind w:left="341" w:hanging="0"/>
        <w:jc w:val="both"/>
        <w:rPr>
          <w:rStyle w:val="InternetLink"/>
          <w:sz w:val="24"/>
          <w:szCs w:val="24"/>
        </w:rPr>
      </w:pPr>
      <w:r>
        <w:rPr>
          <w:sz w:val="24"/>
          <w:szCs w:val="24"/>
        </w:rPr>
      </w:r>
    </w:p>
    <w:p>
      <w:pPr>
        <w:pStyle w:val="Normal"/>
        <w:numPr>
          <w:ilvl w:val="0"/>
          <w:numId w:val="2"/>
        </w:numPr>
        <w:spacing w:lineRule="auto" w:line="276"/>
        <w:jc w:val="both"/>
        <w:rPr/>
      </w:pPr>
      <w:r>
        <w:rPr>
          <w:rStyle w:val="StrongEmphasis"/>
          <w:b w:val="false"/>
          <w:bCs w:val="false"/>
          <w:color w:val="000000"/>
          <w:sz w:val="24"/>
          <w:szCs w:val="24"/>
        </w:rPr>
        <w:t>Roth, W.-M., &amp; Roychoudhury, A.</w:t>
      </w:r>
      <w:r>
        <w:rPr>
          <w:rStyle w:val="InternetLink"/>
          <w:b w:val="false"/>
          <w:bCs w:val="false"/>
          <w:color w:val="000000"/>
          <w:sz w:val="24"/>
          <w:szCs w:val="24"/>
        </w:rPr>
        <w:t xml:space="preserve"> (1993). The concept map as a tool for the collaborative construction of knowledge: A microanalysis of high school physics students. </w:t>
      </w:r>
      <w:r>
        <w:rPr>
          <w:rStyle w:val="Emphasis"/>
          <w:b w:val="false"/>
          <w:bCs w:val="false"/>
          <w:color w:val="000000"/>
          <w:sz w:val="24"/>
          <w:szCs w:val="24"/>
        </w:rPr>
        <w:t>Journal of Research in Science Teaching</w:t>
      </w:r>
      <w:r>
        <w:rPr>
          <w:rStyle w:val="InternetLink"/>
          <w:b w:val="false"/>
          <w:bCs w:val="false"/>
          <w:color w:val="000000"/>
          <w:sz w:val="24"/>
          <w:szCs w:val="24"/>
        </w:rPr>
        <w:t xml:space="preserve">, </w:t>
      </w:r>
      <w:r>
        <w:rPr>
          <w:rStyle w:val="Emphasis"/>
          <w:b w:val="false"/>
          <w:bCs w:val="false"/>
          <w:color w:val="000000"/>
          <w:sz w:val="24"/>
          <w:szCs w:val="24"/>
        </w:rPr>
        <w:t>30</w:t>
      </w:r>
      <w:r>
        <w:rPr>
          <w:rStyle w:val="InternetLink"/>
          <w:b w:val="false"/>
          <w:bCs w:val="false"/>
          <w:color w:val="000000"/>
          <w:sz w:val="24"/>
          <w:szCs w:val="24"/>
        </w:rPr>
        <w:t xml:space="preserve">(5), 503–534. </w:t>
      </w:r>
      <w:hyperlink r:id="rId14">
        <w:r>
          <w:rPr>
            <w:rStyle w:val="InternetLink"/>
            <w:b w:val="false"/>
            <w:bCs w:val="false"/>
            <w:sz w:val="24"/>
            <w:szCs w:val="24"/>
          </w:rPr>
          <w:t>https://doi.org/10.1002/tea.3660300508</w:t>
        </w:r>
      </w:hyperlink>
    </w:p>
    <w:p>
      <w:pPr>
        <w:pStyle w:val="TextBody"/>
        <w:numPr>
          <w:ilvl w:val="0"/>
          <w:numId w:val="0"/>
        </w:numPr>
        <w:spacing w:lineRule="auto" w:line="276"/>
        <w:ind w:left="341" w:hanging="0"/>
        <w:jc w:val="both"/>
        <w:rPr>
          <w:rStyle w:val="InternetLink"/>
          <w:sz w:val="24"/>
          <w:szCs w:val="24"/>
        </w:rPr>
      </w:pPr>
      <w:r>
        <w:rPr>
          <w:sz w:val="24"/>
          <w:szCs w:val="24"/>
        </w:rPr>
      </w:r>
    </w:p>
    <w:p>
      <w:pPr>
        <w:pStyle w:val="Normal"/>
        <w:numPr>
          <w:ilvl w:val="0"/>
          <w:numId w:val="2"/>
        </w:numPr>
        <w:spacing w:lineRule="auto" w:line="276"/>
        <w:jc w:val="both"/>
        <w:rPr/>
      </w:pPr>
      <w:r>
        <w:rPr>
          <w:color w:val="000000"/>
        </w:rPr>
        <w:t xml:space="preserve">Szudarski, P. (2023). </w:t>
      </w:r>
      <w:r>
        <w:rPr>
          <w:rStyle w:val="Emphasis"/>
          <w:color w:val="000000"/>
        </w:rPr>
        <w:t>Collocations, corpora and language learning</w:t>
      </w:r>
      <w:r>
        <w:rPr>
          <w:color w:val="000000"/>
        </w:rPr>
        <w:t xml:space="preserve">. Cambridge University Press. </w:t>
      </w:r>
      <w:r>
        <w:rPr>
          <w:rStyle w:val="InternetLink"/>
          <w:color w:val="000000"/>
        </w:rPr>
        <w:t>https://doi.org/10.1017/9781108992602</w:t>
      </w:r>
    </w:p>
    <w:p>
      <w:pPr>
        <w:pStyle w:val="Normal"/>
        <w:numPr>
          <w:ilvl w:val="0"/>
          <w:numId w:val="0"/>
        </w:numPr>
        <w:spacing w:lineRule="auto" w:line="276"/>
        <w:ind w:left="341" w:hanging="0"/>
        <w:jc w:val="both"/>
        <w:rPr>
          <w:color w:val="000000"/>
        </w:rPr>
      </w:pPr>
      <w:r>
        <w:rPr>
          <w:color w:val="000000"/>
        </w:rPr>
      </w:r>
    </w:p>
    <w:p>
      <w:pPr>
        <w:pStyle w:val="Normal"/>
        <w:numPr>
          <w:ilvl w:val="0"/>
          <w:numId w:val="2"/>
        </w:numPr>
        <w:spacing w:lineRule="auto" w:line="276"/>
        <w:jc w:val="both"/>
        <w:rPr/>
      </w:pPr>
      <w:r>
        <w:rPr>
          <w:color w:val="000000"/>
        </w:rPr>
        <w:t xml:space="preserve">Tripathi, S. (2023). </w:t>
      </w:r>
      <w:r>
        <w:rPr>
          <w:rStyle w:val="Emphasis"/>
          <w:color w:val="000000"/>
        </w:rPr>
        <w:t>Multilingual education in India: Challenges ahead</w:t>
      </w:r>
      <w:r>
        <w:rPr>
          <w:color w:val="000000"/>
        </w:rPr>
        <w:t xml:space="preserve">. </w:t>
      </w:r>
      <w:r>
        <w:rPr>
          <w:rStyle w:val="Emphasis"/>
          <w:color w:val="000000"/>
        </w:rPr>
        <w:t>Language and Language Teaching</w:t>
      </w:r>
      <w:r>
        <w:rPr>
          <w:color w:val="000000"/>
        </w:rPr>
        <w:t xml:space="preserve">, </w:t>
      </w:r>
      <w:r>
        <w:rPr>
          <w:rStyle w:val="Emphasis"/>
          <w:color w:val="000000"/>
        </w:rPr>
        <w:t>12</w:t>
      </w:r>
      <w:r>
        <w:rPr>
          <w:color w:val="000000"/>
        </w:rPr>
        <w:t>(2), 71–77. https://llt.org.in/wp-content/uploads/2023/11/Multilingual-Education-in-India-issue-24.pdf</w:t>
      </w:r>
    </w:p>
    <w:p>
      <w:pPr>
        <w:pStyle w:val="Normal"/>
        <w:numPr>
          <w:ilvl w:val="0"/>
          <w:numId w:val="0"/>
        </w:numPr>
        <w:spacing w:lineRule="auto" w:line="276"/>
        <w:ind w:left="341" w:hanging="0"/>
        <w:jc w:val="both"/>
        <w:rPr>
          <w:rStyle w:val="InternetLink"/>
          <w:color w:val="000000"/>
          <w:sz w:val="24"/>
          <w:szCs w:val="24"/>
        </w:rPr>
      </w:pPr>
      <w:r>
        <w:rPr>
          <w:color w:val="000000"/>
          <w:sz w:val="24"/>
          <w:szCs w:val="24"/>
        </w:rPr>
      </w:r>
    </w:p>
    <w:p>
      <w:pPr>
        <w:pStyle w:val="TextBody"/>
        <w:numPr>
          <w:ilvl w:val="0"/>
          <w:numId w:val="0"/>
        </w:numPr>
        <w:spacing w:lineRule="auto" w:line="276"/>
        <w:ind w:left="341" w:hanging="0"/>
        <w:jc w:val="both"/>
        <w:rPr>
          <w:rStyle w:val="InternetLink"/>
          <w:sz w:val="24"/>
          <w:szCs w:val="24"/>
        </w:rPr>
      </w:pPr>
      <w:r>
        <w:rPr>
          <w:sz w:val="24"/>
          <w:szCs w:val="24"/>
        </w:rPr>
      </w:r>
    </w:p>
    <w:p>
      <w:pPr>
        <w:pStyle w:val="TextBody"/>
        <w:numPr>
          <w:ilvl w:val="0"/>
          <w:numId w:val="2"/>
        </w:numPr>
        <w:spacing w:lineRule="auto" w:line="276"/>
        <w:jc w:val="both"/>
        <w:rPr/>
      </w:pPr>
      <w:r>
        <w:rPr>
          <w:rStyle w:val="InternetLink"/>
          <w:b w:val="false"/>
          <w:bCs w:val="false"/>
          <w:sz w:val="24"/>
          <w:szCs w:val="24"/>
        </w:rPr>
        <w:t xml:space="preserve">Thomas, G. P. (2006). Metaphor, students’ conceptions of learning and teaching, and metacognition. In P. J. Aubusson, A. G. Harrison, &amp; S. M. Ritchie (Eds.), </w:t>
      </w:r>
      <w:r>
        <w:rPr>
          <w:rStyle w:val="Emphasis"/>
          <w:b w:val="false"/>
          <w:bCs w:val="false"/>
          <w:sz w:val="24"/>
          <w:szCs w:val="24"/>
        </w:rPr>
        <w:t>Metaphor and analogy in science education</w:t>
      </w:r>
      <w:r>
        <w:rPr>
          <w:rStyle w:val="InternetLink"/>
          <w:b w:val="false"/>
          <w:bCs w:val="false"/>
          <w:sz w:val="24"/>
          <w:szCs w:val="24"/>
        </w:rPr>
        <w:t xml:space="preserve"> (pp. 105–118). Springer.</w:t>
      </w:r>
    </w:p>
    <w:p>
      <w:pPr>
        <w:pStyle w:val="TextBody"/>
        <w:numPr>
          <w:ilvl w:val="0"/>
          <w:numId w:val="0"/>
        </w:numPr>
        <w:spacing w:lineRule="auto" w:line="276"/>
        <w:ind w:left="341" w:hanging="0"/>
        <w:jc w:val="both"/>
        <w:rPr>
          <w:rStyle w:val="InternetLink"/>
          <w:sz w:val="24"/>
          <w:szCs w:val="24"/>
        </w:rPr>
      </w:pPr>
      <w:r>
        <w:rPr>
          <w:sz w:val="24"/>
          <w:szCs w:val="24"/>
        </w:rPr>
      </w:r>
    </w:p>
    <w:p>
      <w:pPr>
        <w:pStyle w:val="TextBody"/>
        <w:numPr>
          <w:ilvl w:val="0"/>
          <w:numId w:val="2"/>
        </w:numPr>
        <w:spacing w:lineRule="auto" w:line="276"/>
        <w:jc w:val="both"/>
        <w:rPr/>
      </w:pPr>
      <w:r>
        <w:rPr>
          <w:rStyle w:val="InternetLink"/>
          <w:b w:val="false"/>
          <w:bCs w:val="false"/>
          <w:sz w:val="24"/>
          <w:szCs w:val="24"/>
        </w:rPr>
        <w:t xml:space="preserve">Wilbers, J., &amp; Duit, R. (2006). Post-festum and heuristic analogies. In P. J. Aubusson, A. G. Harrison, &amp; S. M. Ritchie (Eds.), </w:t>
      </w:r>
      <w:r>
        <w:rPr>
          <w:rStyle w:val="Emphasis"/>
          <w:b w:val="false"/>
          <w:bCs w:val="false"/>
          <w:sz w:val="24"/>
          <w:szCs w:val="24"/>
        </w:rPr>
        <w:t>Metaphor and analogy in science education</w:t>
      </w:r>
      <w:r>
        <w:rPr>
          <w:rStyle w:val="InternetLink"/>
          <w:b w:val="false"/>
          <w:bCs w:val="false"/>
          <w:sz w:val="24"/>
          <w:szCs w:val="24"/>
        </w:rPr>
        <w:t xml:space="preserve"> (pp. 37–51). Springer.</w:t>
      </w:r>
    </w:p>
    <w:p>
      <w:pPr>
        <w:pStyle w:val="TextBody"/>
        <w:numPr>
          <w:ilvl w:val="0"/>
          <w:numId w:val="0"/>
        </w:numPr>
        <w:spacing w:lineRule="auto" w:line="276"/>
        <w:ind w:left="341" w:hanging="0"/>
        <w:jc w:val="both"/>
        <w:rPr>
          <w:rStyle w:val="InternetLink"/>
          <w:sz w:val="24"/>
          <w:szCs w:val="24"/>
        </w:rPr>
      </w:pPr>
      <w:r>
        <w:rPr>
          <w:sz w:val="24"/>
          <w:szCs w:val="24"/>
        </w:rPr>
      </w:r>
    </w:p>
    <w:p>
      <w:pPr>
        <w:pStyle w:val="Normal"/>
        <w:numPr>
          <w:ilvl w:val="0"/>
          <w:numId w:val="2"/>
        </w:numPr>
        <w:spacing w:lineRule="auto" w:line="276"/>
        <w:jc w:val="both"/>
        <w:rPr/>
      </w:pPr>
      <w:r>
        <w:rPr>
          <w:rStyle w:val="StrongEmphasis"/>
          <w:b w:val="false"/>
          <w:bCs w:val="false"/>
          <w:sz w:val="24"/>
          <w:szCs w:val="24"/>
        </w:rPr>
        <w:t>Vosniadou, S. (2019)</w:t>
      </w:r>
      <w:r>
        <w:rPr>
          <w:rStyle w:val="StrongEmphasis"/>
          <w:sz w:val="24"/>
          <w:szCs w:val="24"/>
        </w:rPr>
        <w:t>.</w:t>
      </w:r>
      <w:r>
        <w:rPr>
          <w:rStyle w:val="StrongEmphasis"/>
          <w:b w:val="false"/>
          <w:bCs w:val="false"/>
          <w:sz w:val="24"/>
          <w:szCs w:val="24"/>
        </w:rPr>
        <w:t xml:space="preserve"> The development of students’ understanding of science. </w:t>
      </w:r>
      <w:r>
        <w:rPr>
          <w:rStyle w:val="Emphasis"/>
          <w:b w:val="false"/>
          <w:bCs w:val="false"/>
          <w:sz w:val="24"/>
          <w:szCs w:val="24"/>
        </w:rPr>
        <w:t>Frontiers in Education</w:t>
      </w:r>
      <w:r>
        <w:rPr>
          <w:rStyle w:val="StrongEmphasis"/>
          <w:b w:val="false"/>
          <w:bCs w:val="false"/>
          <w:sz w:val="24"/>
          <w:szCs w:val="24"/>
        </w:rPr>
        <w:t xml:space="preserve">, </w:t>
      </w:r>
      <w:r>
        <w:rPr>
          <w:rStyle w:val="Emphasis"/>
          <w:b w:val="false"/>
          <w:bCs w:val="false"/>
          <w:sz w:val="24"/>
          <w:szCs w:val="24"/>
        </w:rPr>
        <w:t>4</w:t>
      </w:r>
      <w:r>
        <w:rPr>
          <w:rStyle w:val="StrongEmphasis"/>
          <w:b w:val="false"/>
          <w:bCs w:val="false"/>
          <w:sz w:val="24"/>
          <w:szCs w:val="24"/>
        </w:rPr>
        <w:t>, Article 32.</w:t>
      </w:r>
    </w:p>
    <w:p>
      <w:pPr>
        <w:pStyle w:val="Normal"/>
        <w:numPr>
          <w:ilvl w:val="0"/>
          <w:numId w:val="0"/>
        </w:numPr>
        <w:spacing w:lineRule="auto" w:line="276"/>
        <w:ind w:left="341" w:hanging="0"/>
        <w:jc w:val="both"/>
        <w:rPr>
          <w:rStyle w:val="StrongEmphasis"/>
          <w:b w:val="false"/>
          <w:b w:val="false"/>
          <w:bCs w:val="false"/>
          <w:sz w:val="24"/>
          <w:szCs w:val="24"/>
        </w:rPr>
      </w:pPr>
      <w:r>
        <w:rPr/>
      </w:r>
    </w:p>
    <w:p>
      <w:pPr>
        <w:pStyle w:val="TextBody"/>
        <w:numPr>
          <w:ilvl w:val="0"/>
          <w:numId w:val="2"/>
        </w:numPr>
        <w:spacing w:lineRule="auto" w:line="276"/>
        <w:jc w:val="both"/>
        <w:rPr/>
      </w:pPr>
      <w:r>
        <w:rPr>
          <w:rStyle w:val="StrongEmphasis"/>
          <w:b w:val="false"/>
          <w:bCs w:val="false"/>
          <w:sz w:val="24"/>
          <w:szCs w:val="24"/>
        </w:rPr>
        <w:t>White, M. I., &amp; LeVine, R. A. (1986).</w:t>
      </w:r>
      <w:r>
        <w:rPr>
          <w:rStyle w:val="InternetLink"/>
          <w:b w:val="false"/>
          <w:bCs w:val="false"/>
          <w:sz w:val="24"/>
          <w:szCs w:val="24"/>
        </w:rPr>
        <w:t xml:space="preserve"> What is an </w:t>
      </w:r>
      <w:r>
        <w:rPr>
          <w:rStyle w:val="Emphasis"/>
          <w:b w:val="false"/>
          <w:bCs w:val="false"/>
          <w:sz w:val="24"/>
          <w:szCs w:val="24"/>
        </w:rPr>
        <w:t>ii ko</w:t>
      </w:r>
      <w:r>
        <w:rPr>
          <w:rStyle w:val="InternetLink"/>
          <w:b w:val="false"/>
          <w:bCs w:val="false"/>
          <w:sz w:val="24"/>
          <w:szCs w:val="24"/>
        </w:rPr>
        <w:t xml:space="preserve"> (good child)? In H. W. Stevenson, H. Azuma, &amp; K. Hakuta (Eds.), </w:t>
      </w:r>
      <w:r>
        <w:rPr>
          <w:rStyle w:val="Emphasis"/>
          <w:b w:val="false"/>
          <w:bCs w:val="false"/>
          <w:sz w:val="24"/>
          <w:szCs w:val="24"/>
        </w:rPr>
        <w:t>Child development and education in Japan</w:t>
      </w:r>
      <w:r>
        <w:rPr>
          <w:rStyle w:val="InternetLink"/>
          <w:b w:val="false"/>
          <w:bCs w:val="false"/>
          <w:sz w:val="24"/>
          <w:szCs w:val="24"/>
        </w:rPr>
        <w:t xml:space="preserve"> (pp. 55–62). W.H. Freeman.</w:t>
      </w:r>
    </w:p>
    <w:p>
      <w:pPr>
        <w:pStyle w:val="TextBody"/>
        <w:numPr>
          <w:ilvl w:val="0"/>
          <w:numId w:val="0"/>
        </w:numPr>
        <w:spacing w:lineRule="auto" w:line="276"/>
        <w:ind w:left="341" w:hanging="0"/>
        <w:jc w:val="both"/>
        <w:rPr>
          <w:rStyle w:val="InternetLink"/>
          <w:sz w:val="24"/>
          <w:szCs w:val="24"/>
        </w:rPr>
      </w:pPr>
      <w:r>
        <w:rPr>
          <w:sz w:val="24"/>
          <w:szCs w:val="24"/>
        </w:rPr>
      </w:r>
    </w:p>
    <w:p>
      <w:pPr>
        <w:pStyle w:val="TextBody"/>
        <w:numPr>
          <w:ilvl w:val="0"/>
          <w:numId w:val="2"/>
        </w:numPr>
        <w:spacing w:lineRule="auto" w:line="276"/>
        <w:jc w:val="both"/>
        <w:rPr/>
      </w:pPr>
      <w:r>
        <w:rPr>
          <w:rStyle w:val="InternetLink"/>
          <w:b w:val="false"/>
          <w:bCs w:val="false"/>
          <w:sz w:val="24"/>
          <w:szCs w:val="24"/>
        </w:rPr>
        <w:t xml:space="preserve">Willison, J. W., &amp; Taylor, P. C. (2006). Complementary epistemologies of science teaching: Towards an integral perspective. In P. J. Aubusson, A. G. Harrison, &amp; S. M. Ritchie (Eds.), </w:t>
      </w:r>
      <w:r>
        <w:rPr>
          <w:rStyle w:val="Emphasis"/>
          <w:b w:val="false"/>
          <w:bCs w:val="false"/>
          <w:sz w:val="24"/>
          <w:szCs w:val="24"/>
        </w:rPr>
        <w:t>Metaphor and analogy in science education</w:t>
      </w:r>
      <w:r>
        <w:rPr>
          <w:rStyle w:val="InternetLink"/>
          <w:b w:val="false"/>
          <w:bCs w:val="false"/>
          <w:sz w:val="24"/>
          <w:szCs w:val="24"/>
        </w:rPr>
        <w:t xml:space="preserve"> (pp. 25–36). Springer.</w:t>
      </w:r>
    </w:p>
    <w:p>
      <w:pPr>
        <w:pStyle w:val="TextBody"/>
        <w:spacing w:lineRule="auto" w:line="276"/>
        <w:jc w:val="both"/>
        <w:rPr>
          <w:rStyle w:val="InternetLink"/>
          <w:sz w:val="24"/>
          <w:szCs w:val="24"/>
        </w:rPr>
      </w:pPr>
      <w:r>
        <w:rPr>
          <w:sz w:val="24"/>
          <w:szCs w:val="24"/>
        </w:rPr>
      </w:r>
    </w:p>
    <w:p>
      <w:pPr>
        <w:pStyle w:val="TextBody"/>
        <w:spacing w:lineRule="auto" w:line="276"/>
        <w:jc w:val="both"/>
        <w:rPr>
          <w:rStyle w:val="InternetLink"/>
          <w:sz w:val="24"/>
          <w:szCs w:val="24"/>
        </w:rPr>
      </w:pPr>
      <w:r>
        <w:rPr>
          <w:sz w:val="24"/>
          <w:szCs w:val="24"/>
        </w:rPr>
      </w:r>
    </w:p>
    <w:p>
      <w:pPr>
        <w:pStyle w:val="TextBody"/>
        <w:spacing w:lineRule="auto" w:line="276"/>
        <w:jc w:val="both"/>
        <w:rPr>
          <w:rStyle w:val="InternetLink"/>
          <w:sz w:val="24"/>
          <w:szCs w:val="24"/>
        </w:rPr>
      </w:pPr>
      <w:r>
        <w:rPr>
          <w:sz w:val="24"/>
          <w:szCs w:val="24"/>
        </w:rPr>
      </w:r>
    </w:p>
    <w:p>
      <w:pPr>
        <w:pStyle w:val="TextBody"/>
        <w:spacing w:lineRule="auto" w:line="276"/>
        <w:jc w:val="both"/>
        <w:rPr>
          <w:rStyle w:val="InternetLink"/>
          <w:sz w:val="24"/>
          <w:szCs w:val="24"/>
        </w:rPr>
      </w:pPr>
      <w:r>
        <w:rPr>
          <w:sz w:val="24"/>
          <w:szCs w:val="24"/>
        </w:rPr>
      </w:r>
    </w:p>
    <w:p>
      <w:pPr>
        <w:pStyle w:val="TextBody"/>
        <w:spacing w:lineRule="auto" w:line="276"/>
        <w:jc w:val="both"/>
        <w:rPr>
          <w:rStyle w:val="InternetLink"/>
          <w:sz w:val="24"/>
          <w:szCs w:val="24"/>
        </w:rPr>
      </w:pPr>
      <w:r>
        <w:rPr>
          <w:sz w:val="24"/>
          <w:szCs w:val="24"/>
        </w:rPr>
      </w:r>
    </w:p>
    <w:p>
      <w:pPr>
        <w:pStyle w:val="TextBody"/>
        <w:numPr>
          <w:ilvl w:val="0"/>
          <w:numId w:val="0"/>
        </w:numPr>
        <w:spacing w:lineRule="auto" w:line="276" w:before="0" w:after="140"/>
        <w:ind w:left="341" w:hanging="0"/>
        <w:jc w:val="both"/>
        <w:rPr>
          <w:b w:val="false"/>
          <w:b w:val="false"/>
          <w:bCs w:val="false"/>
        </w:rPr>
      </w:pPr>
      <w:r>
        <w:rPr>
          <w:b w:val="false"/>
          <w:bCs w:val="false"/>
        </w:rPr>
      </w:r>
    </w:p>
    <w:p>
      <w:pPr>
        <w:pStyle w:val="TextBody"/>
        <w:spacing w:lineRule="auto" w:line="276"/>
        <w:jc w:val="both"/>
        <w:rPr>
          <w:b/>
          <w:b/>
          <w:bCs/>
        </w:rPr>
      </w:pPr>
      <w:r>
        <w:rPr>
          <w:b/>
          <w:bCs/>
        </w:rPr>
      </w:r>
    </w:p>
    <w:p>
      <w:pPr>
        <w:pStyle w:val="TextBody"/>
        <w:spacing w:lineRule="auto" w:line="276"/>
        <w:jc w:val="both"/>
        <w:rPr/>
      </w:pPr>
      <w:r>
        <w:rPr/>
      </w:r>
    </w:p>
    <w:p>
      <w:pPr>
        <w:pStyle w:val="TextBody"/>
        <w:spacing w:lineRule="auto" w:line="276"/>
        <w:jc w:val="both"/>
        <w:rPr/>
      </w:pPr>
      <w:r>
        <w:rPr/>
      </w:r>
    </w:p>
    <w:p>
      <w:pPr>
        <w:pStyle w:val="Normal"/>
        <w:spacing w:lineRule="auto" w:line="276"/>
        <w:jc w:val="both"/>
        <w:rPr/>
      </w:pPr>
      <w:r>
        <w:rPr/>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0"/>
    <w:family w:val="swiss"/>
    <w:pitch w:val="variable"/>
  </w:font>
  <w:font w:name="OpenSymbol">
    <w:altName w:val="Arial Unicode MS"/>
    <w:charset w:val="02"/>
    <w:family w:val="auto"/>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decimal"/>
      <w:lvlText w:val="%1."/>
      <w:lvlJc w:val="right"/>
      <w:pPr>
        <w:tabs>
          <w:tab w:val="num" w:pos="341"/>
        </w:tabs>
        <w:ind w:left="341" w:hanging="114"/>
      </w:pPr>
    </w:lvl>
    <w:lvl w:ilvl="1">
      <w:start w:val="1"/>
      <w:numFmt w:val="lowerLetter"/>
      <w:lvlText w:val="%2."/>
      <w:lvlJc w:val="left"/>
      <w:pPr>
        <w:tabs>
          <w:tab w:val="num" w:pos="1896"/>
        </w:tabs>
        <w:ind w:left="1896" w:hanging="360"/>
      </w:pPr>
    </w:lvl>
    <w:lvl w:ilvl="2">
      <w:start w:val="1"/>
      <w:numFmt w:val="lowerRoman"/>
      <w:lvlText w:val="%3."/>
      <w:lvlJc w:val="right"/>
      <w:pPr>
        <w:tabs>
          <w:tab w:val="num" w:pos="2616"/>
        </w:tabs>
        <w:ind w:left="2616" w:hanging="180"/>
      </w:pPr>
    </w:lvl>
    <w:lvl w:ilvl="3">
      <w:start w:val="1"/>
      <w:numFmt w:val="decimal"/>
      <w:lvlText w:val="%4."/>
      <w:lvlJc w:val="left"/>
      <w:pPr>
        <w:tabs>
          <w:tab w:val="num" w:pos="3336"/>
        </w:tabs>
        <w:ind w:left="3336" w:hanging="360"/>
      </w:pPr>
    </w:lvl>
    <w:lvl w:ilvl="4">
      <w:start w:val="1"/>
      <w:numFmt w:val="lowerLetter"/>
      <w:lvlText w:val="%5."/>
      <w:lvlJc w:val="left"/>
      <w:pPr>
        <w:tabs>
          <w:tab w:val="num" w:pos="4056"/>
        </w:tabs>
        <w:ind w:left="4056" w:hanging="360"/>
      </w:pPr>
    </w:lvl>
    <w:lvl w:ilvl="5">
      <w:start w:val="1"/>
      <w:numFmt w:val="lowerRoman"/>
      <w:lvlText w:val="%6."/>
      <w:lvlJc w:val="right"/>
      <w:pPr>
        <w:tabs>
          <w:tab w:val="num" w:pos="4776"/>
        </w:tabs>
        <w:ind w:left="4776" w:hanging="180"/>
      </w:pPr>
    </w:lvl>
    <w:lvl w:ilvl="6">
      <w:start w:val="1"/>
      <w:numFmt w:val="decimal"/>
      <w:lvlText w:val="%7."/>
      <w:lvlJc w:val="left"/>
      <w:pPr>
        <w:tabs>
          <w:tab w:val="num" w:pos="5496"/>
        </w:tabs>
        <w:ind w:left="5496" w:hanging="360"/>
      </w:pPr>
    </w:lvl>
    <w:lvl w:ilvl="7">
      <w:start w:val="1"/>
      <w:numFmt w:val="lowerLetter"/>
      <w:lvlText w:val="%8."/>
      <w:lvlJc w:val="left"/>
      <w:pPr>
        <w:tabs>
          <w:tab w:val="num" w:pos="6216"/>
        </w:tabs>
        <w:ind w:left="6216" w:hanging="360"/>
      </w:pPr>
    </w:lvl>
    <w:lvl w:ilvl="8">
      <w:start w:val="1"/>
      <w:numFmt w:val="lowerRoman"/>
      <w:lvlText w:val="%9."/>
      <w:lvlJc w:val="right"/>
      <w:pPr>
        <w:tabs>
          <w:tab w:val="num" w:pos="6936"/>
        </w:tabs>
        <w:ind w:left="6936" w:hanging="180"/>
      </w:pPr>
    </w:lvl>
  </w:abstractNum>
  <w:abstractNum w:abstractNumId="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 w:val="24"/>
        <w:szCs w:val="24"/>
        <w:lang w:val="en-US" w:eastAsia="zh-CN" w:bidi="hi-IN"/>
      </w:rPr>
    </w:rPrDefault>
    <w:pPrDefault>
      <w:pPr>
        <w:widowControl/>
      </w:pPr>
    </w:pPrDefault>
  </w:docDefaults>
  <w:style w:type="paragraph" w:styleId="Normal">
    <w:name w:val="Normal"/>
    <w:qFormat/>
    <w:pPr>
      <w:widowControl/>
    </w:pPr>
    <w:rPr>
      <w:rFonts w:ascii="Times New Roman" w:hAnsi="Times New Roman" w:eastAsia="NSimSun" w:cs="Arial"/>
      <w:color w:val="auto"/>
      <w:kern w:val="2"/>
      <w:sz w:val="24"/>
      <w:szCs w:val="24"/>
      <w:lang w:val="en-US" w:eastAsia="zh-CN" w:bidi="hi-IN"/>
    </w:rPr>
  </w:style>
  <w:style w:type="paragraph" w:styleId="Heading2">
    <w:name w:val="Heading 2"/>
    <w:basedOn w:val="Heading"/>
    <w:next w:val="TextBody"/>
    <w:qFormat/>
    <w:pPr>
      <w:numPr>
        <w:ilvl w:val="1"/>
        <w:numId w:val="1"/>
      </w:numPr>
      <w:spacing w:before="200" w:after="120"/>
      <w:outlineLvl w:val="1"/>
    </w:pPr>
    <w:rPr>
      <w:rFonts w:ascii="Times New Roman" w:hAnsi="Times New Roman" w:eastAsia="NSimSun" w:cs="Arial"/>
      <w:b/>
      <w:bCs/>
      <w:sz w:val="36"/>
      <w:szCs w:val="36"/>
    </w:rPr>
  </w:style>
  <w:style w:type="paragraph" w:styleId="Heading3">
    <w:name w:val="Heading 3"/>
    <w:basedOn w:val="Heading"/>
    <w:next w:val="TextBody"/>
    <w:qFormat/>
    <w:pPr>
      <w:numPr>
        <w:ilvl w:val="2"/>
        <w:numId w:val="1"/>
      </w:numPr>
      <w:spacing w:before="140" w:after="120"/>
      <w:outlineLvl w:val="2"/>
    </w:pPr>
    <w:rPr>
      <w:rFonts w:ascii="Times New Roman" w:hAnsi="Times New Roman" w:eastAsia="NSimSun" w:cs="Arial"/>
      <w:b/>
      <w:bCs/>
      <w:sz w:val="28"/>
      <w:szCs w:val="28"/>
    </w:rPr>
  </w:style>
  <w:style w:type="character" w:styleId="StrongEmphasis">
    <w:name w:val="Strong Emphasis"/>
    <w:qFormat/>
    <w:rPr>
      <w:b/>
      <w:bCs/>
    </w:rPr>
  </w:style>
  <w:style w:type="character" w:styleId="DefaultParagraphFont">
    <w:name w:val="Default Paragraph Font"/>
    <w:qFormat/>
    <w:rPr/>
  </w:style>
  <w:style w:type="character" w:styleId="InternetLink">
    <w:name w:val="Internet Link"/>
    <w:basedOn w:val="DefaultParagraphFont"/>
    <w:rPr>
      <w:color w:val="auto"/>
      <w:u w:val="none"/>
    </w:rPr>
  </w:style>
  <w:style w:type="character" w:styleId="Emphasis">
    <w:name w:val="Emphasis"/>
    <w:qFormat/>
    <w:rPr>
      <w:i/>
      <w:iCs/>
    </w:rPr>
  </w:style>
  <w:style w:type="character" w:styleId="ListLabel111">
    <w:name w:val="ListLabel 111"/>
    <w:qFormat/>
    <w:rPr>
      <w:b w:val="false"/>
      <w:bCs w:val="false"/>
      <w:sz w:val="24"/>
      <w:szCs w:val="24"/>
    </w:rPr>
  </w:style>
  <w:style w:type="character" w:styleId="ListLabel112">
    <w:name w:val="ListLabel 112"/>
    <w:qFormat/>
    <w:rPr/>
  </w:style>
  <w:style w:type="character" w:styleId="ListLabel113">
    <w:name w:val="ListLabel 113"/>
    <w:qFormat/>
    <w:rPr>
      <w:b w:val="false"/>
      <w:bCs w:val="false"/>
      <w:color w:val="000000"/>
      <w:sz w:val="24"/>
      <w:szCs w:val="24"/>
    </w:rPr>
  </w:style>
  <w:style w:type="character" w:styleId="ListLabel114">
    <w:name w:val="ListLabel 114"/>
    <w:qFormat/>
    <w:rPr>
      <w:color w:val="000000"/>
    </w:rPr>
  </w:style>
  <w:style w:type="character" w:styleId="ListLabel116">
    <w:name w:val="ListLabel 116"/>
    <w:qFormat/>
    <w:rPr>
      <w:b w:val="false"/>
      <w:bCs w:val="false"/>
      <w:sz w:val="24"/>
      <w:szCs w:val="24"/>
    </w:rPr>
  </w:style>
  <w:style w:type="character" w:styleId="ListLabel102">
    <w:name w:val="ListLabel 102"/>
    <w:qFormat/>
    <w:rPr>
      <w:rFonts w:cs="OpenSymbol"/>
    </w:rPr>
  </w:style>
  <w:style w:type="character" w:styleId="ListLabel103">
    <w:name w:val="ListLabel 103"/>
    <w:qFormat/>
    <w:rPr>
      <w:rFonts w:cs="OpenSymbol"/>
    </w:rPr>
  </w:style>
  <w:style w:type="character" w:styleId="ListLabel104">
    <w:name w:val="ListLabel 104"/>
    <w:qFormat/>
    <w:rPr>
      <w:rFonts w:cs="OpenSymbol"/>
    </w:rPr>
  </w:style>
  <w:style w:type="character" w:styleId="ListLabel105">
    <w:name w:val="ListLabel 105"/>
    <w:qFormat/>
    <w:rPr>
      <w:rFonts w:cs="OpenSymbol"/>
    </w:rPr>
  </w:style>
  <w:style w:type="character" w:styleId="ListLabel106">
    <w:name w:val="ListLabel 106"/>
    <w:qFormat/>
    <w:rPr>
      <w:rFonts w:cs="OpenSymbol"/>
    </w:rPr>
  </w:style>
  <w:style w:type="character" w:styleId="ListLabel107">
    <w:name w:val="ListLabel 107"/>
    <w:qFormat/>
    <w:rPr>
      <w:rFonts w:cs="OpenSymbol"/>
    </w:rPr>
  </w:style>
  <w:style w:type="character" w:styleId="ListLabel108">
    <w:name w:val="ListLabel 108"/>
    <w:qFormat/>
    <w:rPr>
      <w:rFonts w:cs="OpenSymbol"/>
    </w:rPr>
  </w:style>
  <w:style w:type="character" w:styleId="ListLabel109">
    <w:name w:val="ListLabel 109"/>
    <w:qFormat/>
    <w:rPr>
      <w:rFonts w:cs="OpenSymbol"/>
    </w:rPr>
  </w:style>
  <w:style w:type="character" w:styleId="ListLabel110">
    <w:name w:val="ListLabel 110"/>
    <w:qFormat/>
    <w:rPr>
      <w:rFonts w:cs="OpenSymbol"/>
    </w:rPr>
  </w:style>
  <w:style w:type="character" w:styleId="NumberingSymbols">
    <w:name w:val="Numbering Symbols"/>
    <w:qFormat/>
    <w:rPr/>
  </w:style>
  <w:style w:type="character" w:styleId="ListLabel66">
    <w:name w:val="ListLabel 66"/>
    <w:qFormat/>
    <w:rPr>
      <w:rFonts w:cs="OpenSymbol"/>
    </w:rPr>
  </w:style>
  <w:style w:type="character" w:styleId="ListLabel67">
    <w:name w:val="ListLabel 67"/>
    <w:qFormat/>
    <w:rPr>
      <w:rFonts w:cs="OpenSymbol"/>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OpenSymbol"/>
    </w:rPr>
  </w:style>
  <w:style w:type="character" w:styleId="ListLabel71">
    <w:name w:val="ListLabel 71"/>
    <w:qFormat/>
    <w:rPr>
      <w:rFonts w:cs="OpenSymbol"/>
    </w:rPr>
  </w:style>
  <w:style w:type="character" w:styleId="ListLabel72">
    <w:name w:val="ListLabel 72"/>
    <w:qFormat/>
    <w:rPr>
      <w:rFonts w:cs="OpenSymbol"/>
    </w:rPr>
  </w:style>
  <w:style w:type="character" w:styleId="ListLabel73">
    <w:name w:val="ListLabel 73"/>
    <w:qFormat/>
    <w:rPr>
      <w:rFonts w:cs="OpenSymbol"/>
    </w:rPr>
  </w:style>
  <w:style w:type="character" w:styleId="ListLabel74">
    <w:name w:val="ListLabel 74"/>
    <w:qFormat/>
    <w:rPr>
      <w:rFonts w:cs="OpenSymbol"/>
    </w:rPr>
  </w:style>
  <w:style w:type="character" w:styleId="ListLabel75">
    <w:name w:val="ListLabel 75"/>
    <w:qFormat/>
    <w:rPr>
      <w:rFonts w:cs="OpenSymbol"/>
    </w:rPr>
  </w:style>
  <w:style w:type="character" w:styleId="ListLabel76">
    <w:name w:val="ListLabel 76"/>
    <w:qFormat/>
    <w:rPr>
      <w:rFonts w:cs="OpenSymbol"/>
    </w:rPr>
  </w:style>
  <w:style w:type="character" w:styleId="ListLabel77">
    <w:name w:val="ListLabel 77"/>
    <w:qFormat/>
    <w:rPr>
      <w:rFonts w:cs="OpenSymbol"/>
    </w:rPr>
  </w:style>
  <w:style w:type="character" w:styleId="ListLabel78">
    <w:name w:val="ListLabel 78"/>
    <w:qFormat/>
    <w:rPr>
      <w:rFonts w:cs="OpenSymbol"/>
    </w:rPr>
  </w:style>
  <w:style w:type="character" w:styleId="ListLabel79">
    <w:name w:val="ListLabel 79"/>
    <w:qFormat/>
    <w:rPr>
      <w:rFonts w:cs="OpenSymbol"/>
    </w:rPr>
  </w:style>
  <w:style w:type="character" w:styleId="ListLabel80">
    <w:name w:val="ListLabel 80"/>
    <w:qFormat/>
    <w:rPr>
      <w:rFonts w:cs="OpenSymbol"/>
    </w:rPr>
  </w:style>
  <w:style w:type="character" w:styleId="ListLabel81">
    <w:name w:val="ListLabel 81"/>
    <w:qFormat/>
    <w:rPr>
      <w:rFonts w:cs="OpenSymbol"/>
    </w:rPr>
  </w:style>
  <w:style w:type="character" w:styleId="ListLabel82">
    <w:name w:val="ListLabel 82"/>
    <w:qFormat/>
    <w:rPr>
      <w:rFonts w:cs="OpenSymbol"/>
    </w:rPr>
  </w:style>
  <w:style w:type="character" w:styleId="ListLabel83">
    <w:name w:val="ListLabel 83"/>
    <w:qFormat/>
    <w:rPr>
      <w:rFonts w:cs="OpenSymbol"/>
    </w:rPr>
  </w:style>
  <w:style w:type="character" w:styleId="ListLabel84">
    <w:name w:val="ListLabel 84"/>
    <w:qFormat/>
    <w:rPr>
      <w:rFonts w:cs="OpenSymbol"/>
    </w:rPr>
  </w:style>
  <w:style w:type="character" w:styleId="ListLabel85">
    <w:name w:val="ListLabel 85"/>
    <w:qFormat/>
    <w:rPr>
      <w:rFonts w:cs="OpenSymbol"/>
    </w:rPr>
  </w:style>
  <w:style w:type="character" w:styleId="ListLabel86">
    <w:name w:val="ListLabel 86"/>
    <w:qFormat/>
    <w:rPr>
      <w:rFonts w:cs="OpenSymbol"/>
    </w:rPr>
  </w:style>
  <w:style w:type="character" w:styleId="ListLabel87">
    <w:name w:val="ListLabel 87"/>
    <w:qFormat/>
    <w:rPr>
      <w:rFonts w:cs="OpenSymbol"/>
    </w:rPr>
  </w:style>
  <w:style w:type="character" w:styleId="ListLabel88">
    <w:name w:val="ListLabel 88"/>
    <w:qFormat/>
    <w:rPr>
      <w:rFonts w:cs="OpenSymbol"/>
    </w:rPr>
  </w:style>
  <w:style w:type="character" w:styleId="ListLabel89">
    <w:name w:val="ListLabel 89"/>
    <w:qFormat/>
    <w:rPr>
      <w:rFonts w:cs="OpenSymbol"/>
    </w:rPr>
  </w:style>
  <w:style w:type="character" w:styleId="ListLabel90">
    <w:name w:val="ListLabel 90"/>
    <w:qFormat/>
    <w:rPr>
      <w:rFonts w:cs="OpenSymbol"/>
    </w:rPr>
  </w:style>
  <w:style w:type="character" w:styleId="ListLabel91">
    <w:name w:val="ListLabel 91"/>
    <w:qFormat/>
    <w:rPr>
      <w:rFonts w:cs="OpenSymbol"/>
    </w:rPr>
  </w:style>
  <w:style w:type="character" w:styleId="ListLabel92">
    <w:name w:val="ListLabel 92"/>
    <w:qFormat/>
    <w:rPr>
      <w:rFonts w:cs="OpenSymbol"/>
    </w:rPr>
  </w:style>
  <w:style w:type="character" w:styleId="ListLabel93">
    <w:name w:val="ListLabel 93"/>
    <w:qFormat/>
    <w:rPr>
      <w:rFonts w:cs="OpenSymbol"/>
    </w:rPr>
  </w:style>
  <w:style w:type="character" w:styleId="ListLabel94">
    <w:name w:val="ListLabel 94"/>
    <w:qFormat/>
    <w:rPr>
      <w:rFonts w:cs="OpenSymbol"/>
    </w:rPr>
  </w:style>
  <w:style w:type="character" w:styleId="ListLabel95">
    <w:name w:val="ListLabel 95"/>
    <w:qFormat/>
    <w:rPr>
      <w:rFonts w:cs="OpenSymbol"/>
    </w:rPr>
  </w:style>
  <w:style w:type="character" w:styleId="ListLabel96">
    <w:name w:val="ListLabel 96"/>
    <w:qFormat/>
    <w:rPr>
      <w:rFonts w:cs="OpenSymbol"/>
    </w:rPr>
  </w:style>
  <w:style w:type="character" w:styleId="ListLabel97">
    <w:name w:val="ListLabel 97"/>
    <w:qFormat/>
    <w:rPr>
      <w:rFonts w:cs="OpenSymbol"/>
    </w:rPr>
  </w:style>
  <w:style w:type="character" w:styleId="ListLabel98">
    <w:name w:val="ListLabel 98"/>
    <w:qFormat/>
    <w:rPr>
      <w:rFonts w:cs="OpenSymbol"/>
    </w:rPr>
  </w:style>
  <w:style w:type="character" w:styleId="ListLabel99">
    <w:name w:val="ListLabel 99"/>
    <w:qFormat/>
    <w:rPr>
      <w:rFonts w:cs="OpenSymbol"/>
    </w:rPr>
  </w:style>
  <w:style w:type="character" w:styleId="ListLabel100">
    <w:name w:val="ListLabel 100"/>
    <w:qFormat/>
    <w:rPr>
      <w:rFonts w:cs="OpenSymbol"/>
    </w:rPr>
  </w:style>
  <w:style w:type="character" w:styleId="ListLabel101">
    <w:name w:val="ListLabel 101"/>
    <w:qFormat/>
    <w:rPr>
      <w:rFonts w:cs="OpenSymbol"/>
    </w:rPr>
  </w:style>
  <w:style w:type="character" w:styleId="Bullets">
    <w:name w:val="Bullets"/>
    <w:qFormat/>
    <w:rPr>
      <w:rFonts w:ascii="OpenSymbol" w:hAnsi="OpenSymbol" w:eastAsia="OpenSymbol" w:cs="OpenSymbol"/>
    </w:rPr>
  </w:style>
  <w:style w:type="character" w:styleId="ListLabel1024">
    <w:name w:val="ListLabel 1024"/>
    <w:qFormat/>
    <w:rPr>
      <w:b w:val="false"/>
      <w:bCs w:val="false"/>
      <w:sz w:val="24"/>
      <w:szCs w:val="24"/>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P1a">
    <w:name w:val="p1a"/>
    <w:basedOn w:val="Normal"/>
    <w:next w:val="Normal"/>
    <w:qFormat/>
    <w:pPr>
      <w:ind w:left="0" w:right="0" w:hanging="0"/>
    </w:pPr>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sf.io/download/7kjd4/?direct&amp;mode=render" TargetMode="External"/><Relationship Id="rId3" Type="http://schemas.openxmlformats.org/officeDocument/2006/relationships/hyperlink" Target="" TargetMode="External"/><Relationship Id="rId4" Type="http://schemas.openxmlformats.org/officeDocument/2006/relationships/hyperlink" Target="https://doi.org/10.1016/j.rmal.2023.100081" TargetMode="External"/><Relationship Id="rId5" Type="http://schemas.openxmlformats.org/officeDocument/2006/relationships/hyperlink" Target="https://doi.org/10.1207/s15516709cog1501_3" TargetMode="External"/><Relationship Id="rId6" Type="http://schemas.openxmlformats.org/officeDocument/2006/relationships/hyperlink" Target="http://hdl.handle.net/10603/147683" TargetMode="External"/><Relationship Id="rId7" Type="http://schemas.openxmlformats.org/officeDocument/2006/relationships/hyperlink" Target="https://doi.org/10.1002/wcs.105" TargetMode="External"/><Relationship Id="rId8" Type="http://schemas.openxmlformats.org/officeDocument/2006/relationships/hyperlink" Target="https://gradehunt.com/blogs/icse-syllabus-vs-cbse-syllabus-a-comprehensive-comparison" TargetMode="External"/><Relationship Id="rId9" Type="http://schemas.openxmlformats.org/officeDocument/2006/relationships/hyperlink" Target="https://doi.org/10.1007/1-4020-3830-5_2" TargetMode="External"/><Relationship Id="rId10" Type="http://schemas.openxmlformats.org/officeDocument/2006/relationships/hyperlink" Target="https://doi.org/10.46303/jcve.2020.9" TargetMode="External"/><Relationship Id="rId11" Type="http://schemas.openxmlformats.org/officeDocument/2006/relationships/hyperlink" Target="https://ijels.com/upload_document/issue_files/46IJELS-10202457-National.pdf" TargetMode="External"/><Relationship Id="rId12" Type="http://schemas.openxmlformats.org/officeDocument/2006/relationships/hyperlink" Target="" TargetMode="External"/><Relationship Id="rId13" Type="http://schemas.openxmlformats.org/officeDocument/2006/relationships/hyperlink" Target="https://doi.org/10.1002/tea.21887" TargetMode="External"/><Relationship Id="rId14" Type="http://schemas.openxmlformats.org/officeDocument/2006/relationships/hyperlink" Target="https://doi.org/10.1002/tea.3660300508"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27</TotalTime>
  <Application>Neat_Office/6.2.8.2$Windows_x86 LibreOffice_project/</Application>
  <Pages>22</Pages>
  <Words>9372</Words>
  <Characters>54790</Characters>
  <CharactersWithSpaces>64008</CharactersWithSpaces>
  <Paragraphs>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2025-11-23T11:34:30Z</dcterms:created>
  <dc:creator/>
  <dc:description/>
  <dc:language>en-US</dc:language>
  <cp:lastModifiedBy/>
  <dcterms:modified xsi:type="dcterms:W3CDTF">2025-11-23T22:48:27Z</dcterms:modified>
  <cp:revision>5</cp:revision>
  <dc:subject/>
  <dc:title/>
</cp:coreProperties>
</file>