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Better Hand</w:t>
      </w:r>
    </w:p>
    <w:p>
      <w:pPr>
        <w:jc w:val="center"/>
      </w:pPr>
      <w:r>
        <w:rPr>
          <w:sz w:val="26"/>
        </w:rPr>
        <w:t xml:space="preserve">The PIE contrastive </w:t>
      </w:r>
      <w:r>
        <w:rPr>
          <w:i/>
          <w:sz w:val="26"/>
        </w:rPr>
        <w:t>*-tero-</w:t>
      </w:r>
      <w:r>
        <w:rPr>
          <w:sz w:val="26"/>
        </w:rPr>
        <w:t xml:space="preserve"> and the pre-PIE hand-noun</w:t>
      </w:r>
    </w:p>
    <w:p/>
    <w:p>
      <w:pPr>
        <w:jc w:val="center"/>
      </w:pPr>
      <w:r>
        <w:t xml:space="preserve">Paper 2 of the </w:t>
      </w:r>
      <w:r>
        <w:rPr>
          <w:i/>
        </w:rPr>
        <w:t>*t/d-er-</w:t>
      </w:r>
      <w:r>
        <w:t xml:space="preserve"> project. Builds on Chavis &amp; Claude (2026), “The Hand That Gives” (LingBuzz v22).</w:t>
      </w:r>
    </w:p>
    <w:p>
      <w:pPr>
        <w:jc w:val="center"/>
      </w:pPr>
      <w:r>
        <w:t>[Working paper v6 — for scholarly review]</w:t>
      </w:r>
    </w:p>
    <w:p/>
    <w:p>
      <w:pPr>
        <w:jc w:val="center"/>
      </w:pPr>
      <w:r>
        <w:rPr>
          <w:b/>
        </w:rPr>
        <w:t>Chavis, J.M. and Claude, A.I.</w:t>
      </w:r>
    </w:p>
    <w:p/>
    <w:p/>
    <w:p>
      <w:pPr>
        <w:pStyle w:val="Heading1"/>
      </w:pPr>
      <w:r>
        <w:rPr>
          <w:color w:val="000000"/>
        </w:rPr>
        <w:t>Abstract</w:t>
      </w:r>
    </w:p>
    <w:p>
      <w:r>
        <w:t>The PIE contrastive suffix *-tero- has, in its oldest documented function, a strikingly specific role: it is the systematic morpheme for spatial-direction marking across the Indo-European family. Almost every PIE local particle has a *-tero- derivative naming the spatial-contrastive of that particle — Latin citra/ultra/intra/extra/contra (from cis/uls/en/eks/kom), Sanskrit ádhara-/uttara-/ápara-/ántara- (from ádha/ud/ápa/ánta), Avestan and Old Persian fra-tara-/apa-tara-/upa-tara- (from fra/apa/upa), Hittite kattera- (from katt-), Greek próteros/hústeros (from pro/ud). The Avestan and Old Persian evidence preserves what Milizia (2020) calls the “oldest nucleus” of the formation, with Old Persian -tara-/-tama- attested only on local particles. The Handbook of Comparative and Historical Indo-European Linguistics states explicitly that outside Greek and Indo-Iranian, *-tero- and *-(e)ro- are confined to derivations from pronouns and particles; the gradational “more X” use is a Greek and Indo-Iranian innovation.</w:t>
      </w:r>
    </w:p>
    <w:p>
      <w:r>
        <w:t>This paper proposes that the original spatial-direction function of *-tero- follows naturally from the framework of Paper 1: pre-PIE *t/d-er- meaning “hand, open palm” grammaticalized through the lateralization pathway HAND &gt; SIDE &gt; BINARY-SPATIAL-CONTRASTIVE, and the resulting suffix was applied productively to local particles. The Latin compound ambidexter (“having the right-hand-side on both sides”) is the morphologically transparent witness. The directionality alternation *-tero- / *-(e)ro- is delivered by Byrd’s (2015) OCP-driven cluster simplification at morpheme boundaries with no new sound rule, exemplified by Hittite kattera- &lt; *ḱm̥t-tero-.</w:t>
      </w:r>
    </w:p>
    <w:p>
      <w:r>
        <w:t>The paper makes one positive empirical contribution beyond the etymological argument. The reversal hypothesis (the t-bearing *-tero- as original, the bare *-(e)ro- as phonologically reduced) predicts a systematic distribution: bare forms should cluster on stop-final bases where *-tero- would create OCP-violating clusters; t-bearing forms should cluster on bases ending in vowels, sonorants, and fricatives. We run the test on the inherited PIE positional adjective paradigm in Sanskrit, Avestan, Latin, and Greek and find that the prediction is matched in approximately 19 of 19 etymologically transparent cases. The test argues against the older view that the t-extension was analogically irregular; it does not by itself decide between the framework’s reversal and Kahl’s (2024) recent metanalysis hypothesis, which can in principle accommodate the same distribution.</w:t>
      </w:r>
    </w:p>
    <w:p>
      <w:r>
        <w:t>A note on Kahl 2024 is worth flagging at the outset. Kahl, the most current dissertation-length treatment of these morphemes, independently arrives at a locatival origin for bare *-ero-/-er — exactly parallel to the role our framework assigns to the *-r- element of *-tero-. The framework and Kahl agree on more than is sometimes apparent. The narrowed disagreement is about where the t came from: Kahl proposes metanalysis from t-final stems; the framework proposes that the t is the initial consonant of the hand-noun *t/d-e-, which had it from the start.</w:t>
      </w:r>
    </w:p>
    <w:p>
      <w:r>
        <w:t>The paper also flags two speculative pointers: PIE *terh₂- “to cross over” (Latin trans, Sanskrit tirás “across,” Hittite tarḫu- “prevail”) as a possible root-level cognate of *t/d-er-, and PIE *dher- “to hold” (Sanskrit dharma) as part of the same hand-semantics network. Both deserve their own papers.</w:t>
      </w:r>
    </w:p>
    <w:p>
      <w:pPr>
        <w:pStyle w:val="Heading1"/>
      </w:pPr>
      <w:r>
        <w:rPr>
          <w:color w:val="000000"/>
        </w:rPr>
        <w:t>1. Introduction</w:t>
      </w:r>
    </w:p>
    <w:p>
      <w:r>
        <w:rPr>
          <w:b/>
        </w:rPr>
        <w:t xml:space="preserve">The </w:t>
      </w:r>
      <w:r>
        <w:rPr>
          <w:b/>
          <w:i/>
        </w:rPr>
        <w:t>ter-</w:t>
      </w:r>
      <w:r>
        <w:rPr>
          <w:b/>
        </w:rPr>
        <w:t xml:space="preserve"> in </w:t>
      </w:r>
      <w:r>
        <w:rPr>
          <w:b/>
          <w:i/>
        </w:rPr>
        <w:t>*-tero-</w:t>
      </w:r>
      <w:r>
        <w:rPr>
          <w:b/>
        </w:rPr>
        <w:t xml:space="preserve"> is hand.</w:t>
      </w:r>
      <w:r>
        <w:t xml:space="preserve"> That is the substantive proposal of this paper, and the whole of it.</w:t>
      </w:r>
    </w:p>
    <w:p>
      <w:r>
        <w:t>What does it mean to say that the ter- in *-tero- is hand? It means that at a pre-PIE stage, before the suffix had grammaticalized, *t/d-er- was a word for the hand or open palm — the same body-part etymon Paper 1 of this project (Chavis &amp; Claude 2026) reconstructed on the basis of Greek dōron / Hesychian dáris / Old Irish dorn / Welsh dwrn / Latvian dūre. When that hand-noun grammaticalized — when speakers stopped hearing it as “hand” and started hearing it as a relational marker — it became the contrastive suffix that the standard handbooks reconstruct as *-tero-. The spatial-direction function preserved across the family is what’s left of the hand-noun’s body-part semantics, after the grammaticalization had run its course.</w:t>
      </w:r>
    </w:p>
    <w:p>
      <w:r>
        <w:t>The argument has a paradigm-level center. Almost every PIE local particle has a *-tero- derivative that names the spatial-contrastive of the particle: “this side / that side / inner / outer / opposite / right / left / lower / upper / former / latter / which-of-two.” The Latin paradigm (citra, ultra, intra, extra, contra, dexter, sinister, posterus, alter, uter), the Sanskrit paradigm (ádhara-, uttara-, ápara-, ántara-, katára-, anyatara-), the Old Persian and Avestan paradigm (fra-tara-, apa-tara-, upa-tara-), the Greek paradigm (próteros, hústeros, póteros, héteros, deksiterós), the Hittite relic (kattera-) — these are not scattered curiosities but a coherent paradigm in which the *-tero- suffix systematically converts a local particle into a spatial-direction adjective. The Handbook of Comparative and Historical Indo-European Linguistics (vol. 3) states explicitly that outside the Greek and Indo-Iranian extension into “more X” gradational comparison, *-tero- and its bare alternant *-(e)ro- are “confined to derivations of pronouns and particles” in the IE branches. The original PIE function of the suffix, in other words, was exactly the paradigm of spatial-direction marking we will document.</w:t>
      </w:r>
    </w:p>
    <w:p>
      <w:r>
        <w:t>Without an etymological account, the standard treatment describes this paradigm and stops there. The framework supplies what’s missing: a hand-noun grammaticalizing through HAND &gt; SIDE &gt; BINARY-SPATIAL-CONTRASTIVE is exactly what one would expect to find as a productive spatial-direction marker on local particles. With the framework, the paradigm has a motivated source.</w:t>
      </w:r>
    </w:p>
    <w:p>
      <w:r>
        <w:t>A note on what this paper claims, and what it doesn’t. The framework does not claim that PIE speakers were synchronically aware of *-tero- as “hand”; the grammaticalization had long since opaqued the body-part meaning by the time of attested PIE. The framework also does not claim that the standard reconstruction is wrong about the surface forms — both the standard view and the framework predict the same forms. The disagreement is about the etymological source of the suffix, and about what that source explains.</w:t>
      </w:r>
    </w:p>
    <w:p>
      <w:r>
        <w:t>The argument proceeds as follows. §2 sets out the spatial-direction paradigm across the IE branches — the empirical core, presented in Table 1. §3 presents the Latin compound ambidexter as the morphologically transparent witness. §4 lays out the directionality question and engages Kahl (2024), the most current dissertation-length treatment of these morphemes, whose conclusions on the locatival origin of *-ero- the framework can adopt directly. §5 argues that existing PIE phonology delivers the bare form from a t-bearing original via cluster simplification at morpheme boundary, with no new sound rule. §6 takes the Hittite contrastive kattera- as the empirical anchor. §7 presents a distributional test of the reversal hypothesis (Table 2). §8 develops the Anatolian distribution argument. §9 flags two broader pointers (*terh₂- and *dher-). §10 takes up the cross-cultural typological question and consolidates the case in Table 3. §11 lists the morphological extensions left for future work. §12 records remaining problems. The closing sections record the conclusion, probability assessment, contributions, and references.</w:t>
      </w:r>
    </w:p>
    <w:p>
      <w:r>
        <w:t>We adopt the same epistemic posture as Paper 1: the proposal is offered for consideration as an alternative to the standard reconstruction, not as a refutation of it.</w:t>
      </w:r>
    </w:p>
    <w:p>
      <w:pPr>
        <w:pStyle w:val="Heading1"/>
      </w:pPr>
      <w:r>
        <w:rPr>
          <w:color w:val="000000"/>
        </w:rPr>
        <w:t>2. The PIE *-tero- paradigm: spatial-direction marking</w:t>
      </w:r>
    </w:p>
    <w:p>
      <w:r>
        <w:t>We begin with the empirical center. Table 1 sets out the PIE *-tero- paradigm across the branches: every major local particle, the *-tero- derivative it forms, and the spatial-direction adjective that results. The entries are restricted to inherited PIE-level formations (post-PIE inner-branch extensions are discussed separately in §7.1). The arrangement groups the paradigm by particle type — deictic, locational, lateralization, and pronominal — to make the systematicity visible.</w:t>
      </w:r>
    </w:p>
    <w:p>
      <w:r>
        <w:rPr>
          <w:b/>
          <w:sz w:val="20"/>
        </w:rPr>
        <w:t xml:space="preserve">Table 1. </w:t>
      </w:r>
      <w:r>
        <w:rPr>
          <w:sz w:val="20"/>
        </w:rPr>
        <w:t>The PIE *-tero- spatial-direction paradigm across branches.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512"/>
            <w:vAlign w:val="center"/>
            <w:shd w:val="clear" w:color="auto" w:fill="E8E8E8"/>
          </w:tcPr>
          <w:p>
            <w:r/>
            <w:r>
              <w:rPr>
                <w:b/>
                <w:sz w:val="20"/>
              </w:rPr>
              <w:t>PIE particle</w:t>
            </w:r>
          </w:p>
        </w:tc>
        <w:tc>
          <w:tcPr>
            <w:tcW w:type="dxa" w:w="1656"/>
            <w:vAlign w:val="center"/>
            <w:shd w:val="clear" w:color="auto" w:fill="E8E8E8"/>
          </w:tcPr>
          <w:p>
            <w:r/>
            <w:r>
              <w:rPr>
                <w:b/>
                <w:sz w:val="20"/>
              </w:rPr>
              <w:t>Meaning</w:t>
            </w:r>
          </w:p>
        </w:tc>
        <w:tc>
          <w:tcPr>
            <w:tcW w:type="dxa" w:w="1224"/>
            <w:vAlign w:val="center"/>
            <w:shd w:val="clear" w:color="auto" w:fill="E8E8E8"/>
          </w:tcPr>
          <w:p>
            <w:r/>
            <w:r>
              <w:rPr>
                <w:b/>
                <w:sz w:val="20"/>
              </w:rPr>
              <w:t>Branch</w:t>
            </w:r>
          </w:p>
        </w:tc>
        <w:tc>
          <w:tcPr>
            <w:tcW w:type="dxa" w:w="2088"/>
            <w:vAlign w:val="center"/>
            <w:shd w:val="clear" w:color="auto" w:fill="E8E8E8"/>
          </w:tcPr>
          <w:p>
            <w:r/>
            <w:r>
              <w:rPr>
                <w:b/>
                <w:sz w:val="20"/>
              </w:rPr>
              <w:t>*-tero- form</w:t>
            </w:r>
          </w:p>
        </w:tc>
        <w:tc>
          <w:tcPr>
            <w:tcW w:type="dxa" w:w="2808"/>
            <w:vAlign w:val="center"/>
            <w:shd w:val="clear" w:color="auto" w:fill="E8E8E8"/>
          </w:tcPr>
          <w:p>
            <w:r/>
            <w:r>
              <w:rPr>
                <w:b/>
                <w:sz w:val="20"/>
              </w:rPr>
              <w:t>Derived meaning</w:t>
            </w:r>
          </w:p>
        </w:tc>
      </w:tr>
      <w:tr>
        <w:tc>
          <w:tcPr>
            <w:tcW w:type="dxa" w:w="1512"/>
            <w:vAlign w:val="center"/>
          </w:tcPr>
          <w:p>
            <w:r/>
            <w:r>
              <w:rPr>
                <w:sz w:val="20"/>
              </w:rPr>
              <w:t>*ḱi- (deictic)</w:t>
            </w:r>
          </w:p>
        </w:tc>
        <w:tc>
          <w:tcPr>
            <w:tcW w:type="dxa" w:w="1656"/>
            <w:vAlign w:val="center"/>
          </w:tcPr>
          <w:p>
            <w:r/>
            <w:r>
              <w:rPr>
                <w:sz w:val="20"/>
              </w:rPr>
              <w:t>“this, here”</w:t>
            </w:r>
          </w:p>
        </w:tc>
        <w:tc>
          <w:tcPr>
            <w:tcW w:type="dxa" w:w="1224"/>
            <w:vAlign w:val="center"/>
          </w:tcPr>
          <w:p>
            <w:r/>
            <w:r>
              <w:rPr>
                <w:sz w:val="20"/>
              </w:rPr>
              <w:t>Latin</w:t>
            </w:r>
          </w:p>
        </w:tc>
        <w:tc>
          <w:tcPr>
            <w:tcW w:type="dxa" w:w="2088"/>
            <w:vAlign w:val="center"/>
          </w:tcPr>
          <w:p>
            <w:r/>
            <w:r>
              <w:rPr>
                <w:sz w:val="20"/>
              </w:rPr>
              <w:t>citer, citra</w:t>
            </w:r>
          </w:p>
        </w:tc>
        <w:tc>
          <w:tcPr>
            <w:tcW w:type="dxa" w:w="2808"/>
            <w:vAlign w:val="center"/>
          </w:tcPr>
          <w:p>
            <w:r/>
            <w:r>
              <w:rPr>
                <w:sz w:val="20"/>
              </w:rPr>
              <w:t>“nearer, to this side”</w:t>
            </w:r>
          </w:p>
        </w:tc>
      </w:tr>
      <w:tr>
        <w:tc>
          <w:tcPr>
            <w:tcW w:type="dxa" w:w="1512"/>
            <w:vAlign w:val="center"/>
          </w:tcPr>
          <w:p>
            <w:r/>
            <w:r>
              <w:rPr>
                <w:sz w:val="20"/>
              </w:rPr>
              <w:t>*ol- / uls-</w:t>
            </w:r>
          </w:p>
        </w:tc>
        <w:tc>
          <w:tcPr>
            <w:tcW w:type="dxa" w:w="1656"/>
            <w:vAlign w:val="center"/>
          </w:tcPr>
          <w:p>
            <w:r/>
            <w:r>
              <w:rPr>
                <w:sz w:val="20"/>
              </w:rPr>
              <w:t>“that, beyond”</w:t>
            </w:r>
          </w:p>
        </w:tc>
        <w:tc>
          <w:tcPr>
            <w:tcW w:type="dxa" w:w="1224"/>
            <w:vAlign w:val="center"/>
          </w:tcPr>
          <w:p>
            <w:r/>
            <w:r>
              <w:rPr>
                <w:sz w:val="20"/>
              </w:rPr>
              <w:t>Latin</w:t>
            </w:r>
          </w:p>
        </w:tc>
        <w:tc>
          <w:tcPr>
            <w:tcW w:type="dxa" w:w="2088"/>
            <w:vAlign w:val="center"/>
          </w:tcPr>
          <w:p>
            <w:r/>
            <w:r>
              <w:rPr>
                <w:sz w:val="20"/>
              </w:rPr>
              <w:t>ulterior, ultra</w:t>
            </w:r>
          </w:p>
        </w:tc>
        <w:tc>
          <w:tcPr>
            <w:tcW w:type="dxa" w:w="2808"/>
            <w:vAlign w:val="center"/>
          </w:tcPr>
          <w:p>
            <w:r/>
            <w:r>
              <w:rPr>
                <w:sz w:val="20"/>
              </w:rPr>
              <w:t>“farther, beyond”</w:t>
            </w:r>
          </w:p>
        </w:tc>
      </w:tr>
      <w:tr>
        <w:tc>
          <w:tcPr>
            <w:tcW w:type="dxa" w:w="1512"/>
            <w:vAlign w:val="center"/>
          </w:tcPr>
          <w:p>
            <w:r/>
            <w:r>
              <w:rPr>
                <w:sz w:val="20"/>
              </w:rPr>
              <w:t>*ud-</w:t>
            </w:r>
          </w:p>
        </w:tc>
        <w:tc>
          <w:tcPr>
            <w:tcW w:type="dxa" w:w="1656"/>
            <w:vAlign w:val="center"/>
          </w:tcPr>
          <w:p>
            <w:r/>
            <w:r>
              <w:rPr>
                <w:sz w:val="20"/>
              </w:rPr>
              <w:t>“up”</w:t>
            </w:r>
          </w:p>
        </w:tc>
        <w:tc>
          <w:tcPr>
            <w:tcW w:type="dxa" w:w="1224"/>
            <w:vAlign w:val="center"/>
          </w:tcPr>
          <w:p>
            <w:r/>
            <w:r>
              <w:rPr>
                <w:sz w:val="20"/>
              </w:rPr>
              <w:t>Sanskrit</w:t>
            </w:r>
          </w:p>
        </w:tc>
        <w:tc>
          <w:tcPr>
            <w:tcW w:type="dxa" w:w="2088"/>
            <w:vAlign w:val="center"/>
          </w:tcPr>
          <w:p>
            <w:r/>
            <w:r>
              <w:rPr>
                <w:sz w:val="20"/>
              </w:rPr>
              <w:t>uttara-</w:t>
            </w:r>
          </w:p>
        </w:tc>
        <w:tc>
          <w:tcPr>
            <w:tcW w:type="dxa" w:w="2808"/>
            <w:vAlign w:val="center"/>
          </w:tcPr>
          <w:p>
            <w:r/>
            <w:r>
              <w:rPr>
                <w:sz w:val="20"/>
              </w:rPr>
              <w:t>“upper, northern”</w:t>
            </w:r>
          </w:p>
        </w:tc>
      </w:tr>
      <w:tr>
        <w:tc>
          <w:tcPr>
            <w:tcW w:type="dxa" w:w="1512"/>
            <w:vAlign w:val="center"/>
          </w:tcPr>
          <w:p>
            <w:r/>
            <w:r>
              <w:rPr>
                <w:sz w:val="20"/>
              </w:rPr>
              <w:t>*ud- / *uds-(?)</w:t>
            </w:r>
          </w:p>
        </w:tc>
        <w:tc>
          <w:tcPr>
            <w:tcW w:type="dxa" w:w="1656"/>
            <w:vAlign w:val="center"/>
          </w:tcPr>
          <w:p>
            <w:r/>
            <w:r>
              <w:rPr>
                <w:sz w:val="20"/>
              </w:rPr>
              <w:t>“up, away”</w:t>
            </w:r>
          </w:p>
        </w:tc>
        <w:tc>
          <w:tcPr>
            <w:tcW w:type="dxa" w:w="1224"/>
            <w:vAlign w:val="center"/>
          </w:tcPr>
          <w:p>
            <w:r/>
            <w:r>
              <w:rPr>
                <w:sz w:val="20"/>
              </w:rPr>
              <w:t>Greek</w:t>
            </w:r>
          </w:p>
        </w:tc>
        <w:tc>
          <w:tcPr>
            <w:tcW w:type="dxa" w:w="2088"/>
            <w:vAlign w:val="center"/>
          </w:tcPr>
          <w:p>
            <w:r/>
            <w:r>
              <w:rPr>
                <w:sz w:val="20"/>
              </w:rPr>
              <w:t>hústeros</w:t>
            </w:r>
          </w:p>
        </w:tc>
        <w:tc>
          <w:tcPr>
            <w:tcW w:type="dxa" w:w="2808"/>
            <w:vAlign w:val="center"/>
          </w:tcPr>
          <w:p>
            <w:r/>
            <w:r>
              <w:rPr>
                <w:sz w:val="20"/>
              </w:rPr>
              <w:t>“later, after”</w:t>
            </w:r>
          </w:p>
        </w:tc>
      </w:tr>
      <w:tr>
        <w:tc>
          <w:tcPr>
            <w:tcW w:type="dxa" w:w="1512"/>
            <w:vAlign w:val="center"/>
          </w:tcPr>
          <w:p>
            <w:r/>
            <w:r>
              <w:rPr>
                <w:sz w:val="20"/>
              </w:rPr>
              <w:t>*ádh- / *n̥dh-</w:t>
            </w:r>
          </w:p>
        </w:tc>
        <w:tc>
          <w:tcPr>
            <w:tcW w:type="dxa" w:w="1656"/>
            <w:vAlign w:val="center"/>
          </w:tcPr>
          <w:p>
            <w:r/>
            <w:r>
              <w:rPr>
                <w:sz w:val="20"/>
              </w:rPr>
              <w:t>“below”</w:t>
            </w:r>
          </w:p>
        </w:tc>
        <w:tc>
          <w:tcPr>
            <w:tcW w:type="dxa" w:w="1224"/>
            <w:vAlign w:val="center"/>
          </w:tcPr>
          <w:p>
            <w:r/>
            <w:r>
              <w:rPr>
                <w:sz w:val="20"/>
              </w:rPr>
              <w:t>Sanskrit</w:t>
            </w:r>
          </w:p>
        </w:tc>
        <w:tc>
          <w:tcPr>
            <w:tcW w:type="dxa" w:w="2088"/>
            <w:vAlign w:val="center"/>
          </w:tcPr>
          <w:p>
            <w:r/>
            <w:r>
              <w:rPr>
                <w:sz w:val="20"/>
              </w:rPr>
              <w:t>ádhara-</w:t>
            </w:r>
          </w:p>
        </w:tc>
        <w:tc>
          <w:tcPr>
            <w:tcW w:type="dxa" w:w="2808"/>
            <w:vAlign w:val="center"/>
          </w:tcPr>
          <w:p>
            <w:r/>
            <w:r>
              <w:rPr>
                <w:sz w:val="20"/>
              </w:rPr>
              <w:t>“lower”</w:t>
            </w:r>
          </w:p>
        </w:tc>
      </w:tr>
      <w:tr>
        <w:tc>
          <w:tcPr>
            <w:tcW w:type="dxa" w:w="1512"/>
            <w:vAlign w:val="center"/>
          </w:tcPr>
          <w:p>
            <w:r/>
            <w:r>
              <w:rPr>
                <w:sz w:val="20"/>
              </w:rPr>
              <w:t>*ádh-</w:t>
            </w:r>
          </w:p>
        </w:tc>
        <w:tc>
          <w:tcPr>
            <w:tcW w:type="dxa" w:w="1656"/>
            <w:vAlign w:val="center"/>
          </w:tcPr>
          <w:p>
            <w:r/>
            <w:r>
              <w:rPr>
                <w:sz w:val="20"/>
              </w:rPr>
              <w:t>“below”</w:t>
            </w:r>
          </w:p>
        </w:tc>
        <w:tc>
          <w:tcPr>
            <w:tcW w:type="dxa" w:w="1224"/>
            <w:vAlign w:val="center"/>
          </w:tcPr>
          <w:p>
            <w:r/>
            <w:r>
              <w:rPr>
                <w:sz w:val="20"/>
              </w:rPr>
              <w:t>Avestan</w:t>
            </w:r>
          </w:p>
        </w:tc>
        <w:tc>
          <w:tcPr>
            <w:tcW w:type="dxa" w:w="2088"/>
            <w:vAlign w:val="center"/>
          </w:tcPr>
          <w:p>
            <w:r/>
            <w:r>
              <w:rPr>
                <w:sz w:val="20"/>
              </w:rPr>
              <w:t>aδara-</w:t>
            </w:r>
          </w:p>
        </w:tc>
        <w:tc>
          <w:tcPr>
            <w:tcW w:type="dxa" w:w="2808"/>
            <w:vAlign w:val="center"/>
          </w:tcPr>
          <w:p>
            <w:r/>
            <w:r>
              <w:rPr>
                <w:sz w:val="20"/>
              </w:rPr>
              <w:t>“lower”</w:t>
            </w:r>
          </w:p>
        </w:tc>
      </w:tr>
      <w:tr>
        <w:tc>
          <w:tcPr>
            <w:tcW w:type="dxa" w:w="1512"/>
            <w:vAlign w:val="center"/>
          </w:tcPr>
          <w:p>
            <w:r/>
            <w:r>
              <w:rPr>
                <w:sz w:val="20"/>
              </w:rPr>
              <w:t>*n̥dh-</w:t>
            </w:r>
          </w:p>
        </w:tc>
        <w:tc>
          <w:tcPr>
            <w:tcW w:type="dxa" w:w="1656"/>
            <w:vAlign w:val="center"/>
          </w:tcPr>
          <w:p>
            <w:r/>
            <w:r>
              <w:rPr>
                <w:sz w:val="20"/>
              </w:rPr>
              <w:t>“below”</w:t>
            </w:r>
          </w:p>
        </w:tc>
        <w:tc>
          <w:tcPr>
            <w:tcW w:type="dxa" w:w="1224"/>
            <w:vAlign w:val="center"/>
          </w:tcPr>
          <w:p>
            <w:r/>
            <w:r>
              <w:rPr>
                <w:sz w:val="20"/>
              </w:rPr>
              <w:t>Latin</w:t>
            </w:r>
          </w:p>
        </w:tc>
        <w:tc>
          <w:tcPr>
            <w:tcW w:type="dxa" w:w="2088"/>
            <w:vAlign w:val="center"/>
          </w:tcPr>
          <w:p>
            <w:r/>
            <w:r>
              <w:rPr>
                <w:sz w:val="20"/>
              </w:rPr>
              <w:t>inferus</w:t>
            </w:r>
          </w:p>
        </w:tc>
        <w:tc>
          <w:tcPr>
            <w:tcW w:type="dxa" w:w="2808"/>
            <w:vAlign w:val="center"/>
          </w:tcPr>
          <w:p>
            <w:r/>
            <w:r>
              <w:rPr>
                <w:sz w:val="20"/>
              </w:rPr>
              <w:t>“lower” (bare alternant)</w:t>
            </w:r>
          </w:p>
        </w:tc>
      </w:tr>
      <w:tr>
        <w:tc>
          <w:tcPr>
            <w:tcW w:type="dxa" w:w="1512"/>
            <w:vAlign w:val="center"/>
          </w:tcPr>
          <w:p>
            <w:r/>
            <w:r>
              <w:rPr>
                <w:sz w:val="20"/>
              </w:rPr>
              <w:t>*(s)up- / *uper-</w:t>
            </w:r>
          </w:p>
        </w:tc>
        <w:tc>
          <w:tcPr>
            <w:tcW w:type="dxa" w:w="1656"/>
            <w:vAlign w:val="center"/>
          </w:tcPr>
          <w:p>
            <w:r/>
            <w:r>
              <w:rPr>
                <w:sz w:val="20"/>
              </w:rPr>
              <w:t>“above”</w:t>
            </w:r>
          </w:p>
        </w:tc>
        <w:tc>
          <w:tcPr>
            <w:tcW w:type="dxa" w:w="1224"/>
            <w:vAlign w:val="center"/>
          </w:tcPr>
          <w:p>
            <w:r/>
            <w:r>
              <w:rPr>
                <w:sz w:val="20"/>
              </w:rPr>
              <w:t>Latin</w:t>
            </w:r>
          </w:p>
        </w:tc>
        <w:tc>
          <w:tcPr>
            <w:tcW w:type="dxa" w:w="2088"/>
            <w:vAlign w:val="center"/>
          </w:tcPr>
          <w:p>
            <w:r/>
            <w:r>
              <w:rPr>
                <w:sz w:val="20"/>
              </w:rPr>
              <w:t>superus, super</w:t>
            </w:r>
          </w:p>
        </w:tc>
        <w:tc>
          <w:tcPr>
            <w:tcW w:type="dxa" w:w="2808"/>
            <w:vAlign w:val="center"/>
          </w:tcPr>
          <w:p>
            <w:r/>
            <w:r>
              <w:rPr>
                <w:sz w:val="20"/>
              </w:rPr>
              <w:t>“upper, above”</w:t>
            </w:r>
          </w:p>
        </w:tc>
      </w:tr>
      <w:tr>
        <w:tc>
          <w:tcPr>
            <w:tcW w:type="dxa" w:w="1512"/>
            <w:vAlign w:val="center"/>
          </w:tcPr>
          <w:p>
            <w:r/>
            <w:r>
              <w:rPr>
                <w:sz w:val="20"/>
              </w:rPr>
              <w:t>*(s)up-</w:t>
            </w:r>
          </w:p>
        </w:tc>
        <w:tc>
          <w:tcPr>
            <w:tcW w:type="dxa" w:w="1656"/>
            <w:vAlign w:val="center"/>
          </w:tcPr>
          <w:p>
            <w:r/>
            <w:r>
              <w:rPr>
                <w:sz w:val="20"/>
              </w:rPr>
              <w:t>“above”</w:t>
            </w:r>
          </w:p>
        </w:tc>
        <w:tc>
          <w:tcPr>
            <w:tcW w:type="dxa" w:w="1224"/>
            <w:vAlign w:val="center"/>
          </w:tcPr>
          <w:p>
            <w:r/>
            <w:r>
              <w:rPr>
                <w:sz w:val="20"/>
              </w:rPr>
              <w:t>Avestan</w:t>
            </w:r>
          </w:p>
        </w:tc>
        <w:tc>
          <w:tcPr>
            <w:tcW w:type="dxa" w:w="2088"/>
            <w:vAlign w:val="center"/>
          </w:tcPr>
          <w:p>
            <w:r/>
            <w:r>
              <w:rPr>
                <w:sz w:val="20"/>
              </w:rPr>
              <w:t>upara-, upataro-</w:t>
            </w:r>
          </w:p>
        </w:tc>
        <w:tc>
          <w:tcPr>
            <w:tcW w:type="dxa" w:w="2808"/>
            <w:vAlign w:val="center"/>
          </w:tcPr>
          <w:p>
            <w:r/>
            <w:r>
              <w:rPr>
                <w:sz w:val="20"/>
              </w:rPr>
              <w:t>“upper, on top of”</w:t>
            </w:r>
          </w:p>
        </w:tc>
      </w:tr>
      <w:tr>
        <w:tc>
          <w:tcPr>
            <w:tcW w:type="dxa" w:w="1512"/>
            <w:vAlign w:val="center"/>
          </w:tcPr>
          <w:p>
            <w:r/>
            <w:r>
              <w:rPr>
                <w:sz w:val="20"/>
              </w:rPr>
              <w:t>*(s)up-</w:t>
            </w:r>
          </w:p>
        </w:tc>
        <w:tc>
          <w:tcPr>
            <w:tcW w:type="dxa" w:w="1656"/>
            <w:vAlign w:val="center"/>
          </w:tcPr>
          <w:p>
            <w:r/>
            <w:r>
              <w:rPr>
                <w:sz w:val="20"/>
              </w:rPr>
              <w:t>“above”</w:t>
            </w:r>
          </w:p>
        </w:tc>
        <w:tc>
          <w:tcPr>
            <w:tcW w:type="dxa" w:w="1224"/>
            <w:vAlign w:val="center"/>
          </w:tcPr>
          <w:p>
            <w:r/>
            <w:r>
              <w:rPr>
                <w:sz w:val="20"/>
              </w:rPr>
              <w:t>Greek</w:t>
            </w:r>
          </w:p>
        </w:tc>
        <w:tc>
          <w:tcPr>
            <w:tcW w:type="dxa" w:w="2088"/>
            <w:vAlign w:val="center"/>
          </w:tcPr>
          <w:p>
            <w:r/>
            <w:r>
              <w:rPr>
                <w:sz w:val="20"/>
              </w:rPr>
              <w:t>hupér</w:t>
            </w:r>
          </w:p>
        </w:tc>
        <w:tc>
          <w:tcPr>
            <w:tcW w:type="dxa" w:w="2808"/>
            <w:vAlign w:val="center"/>
          </w:tcPr>
          <w:p>
            <w:r/>
            <w:r>
              <w:rPr>
                <w:sz w:val="20"/>
              </w:rPr>
              <w:t>“above” (bare alternant)</w:t>
            </w:r>
          </w:p>
        </w:tc>
      </w:tr>
      <w:tr>
        <w:tc>
          <w:tcPr>
            <w:tcW w:type="dxa" w:w="1512"/>
            <w:vAlign w:val="center"/>
          </w:tcPr>
          <w:p>
            <w:r/>
            <w:r>
              <w:rPr>
                <w:sz w:val="20"/>
              </w:rPr>
              <w:t>*ḱm̥t-</w:t>
            </w:r>
          </w:p>
        </w:tc>
        <w:tc>
          <w:tcPr>
            <w:tcW w:type="dxa" w:w="1656"/>
            <w:vAlign w:val="center"/>
          </w:tcPr>
          <w:p>
            <w:r/>
            <w:r>
              <w:rPr>
                <w:sz w:val="20"/>
              </w:rPr>
              <w:t>“below / alongside”</w:t>
            </w:r>
          </w:p>
        </w:tc>
        <w:tc>
          <w:tcPr>
            <w:tcW w:type="dxa" w:w="1224"/>
            <w:vAlign w:val="center"/>
          </w:tcPr>
          <w:p>
            <w:r/>
            <w:r>
              <w:rPr>
                <w:sz w:val="20"/>
              </w:rPr>
              <w:t>Hittite</w:t>
            </w:r>
          </w:p>
        </w:tc>
        <w:tc>
          <w:tcPr>
            <w:tcW w:type="dxa" w:w="2088"/>
            <w:vAlign w:val="center"/>
          </w:tcPr>
          <w:p>
            <w:r/>
            <w:r>
              <w:rPr>
                <w:sz w:val="20"/>
              </w:rPr>
              <w:t>kattera-</w:t>
            </w:r>
          </w:p>
        </w:tc>
        <w:tc>
          <w:tcPr>
            <w:tcW w:type="dxa" w:w="2808"/>
            <w:vAlign w:val="center"/>
          </w:tcPr>
          <w:p>
            <w:r/>
            <w:r>
              <w:rPr>
                <w:sz w:val="20"/>
              </w:rPr>
              <w:t>“lower, inferior”</w:t>
            </w:r>
          </w:p>
        </w:tc>
      </w:tr>
      <w:tr>
        <w:tc>
          <w:tcPr>
            <w:tcW w:type="dxa" w:w="1512"/>
            <w:vAlign w:val="center"/>
          </w:tcPr>
          <w:p>
            <w:r/>
            <w:r>
              <w:rPr>
                <w:sz w:val="20"/>
              </w:rPr>
              <w:t>*h₁en-</w:t>
            </w:r>
          </w:p>
        </w:tc>
        <w:tc>
          <w:tcPr>
            <w:tcW w:type="dxa" w:w="1656"/>
            <w:vAlign w:val="center"/>
          </w:tcPr>
          <w:p>
            <w:r/>
            <w:r>
              <w:rPr>
                <w:sz w:val="20"/>
              </w:rPr>
              <w:t>“in”</w:t>
            </w:r>
          </w:p>
        </w:tc>
        <w:tc>
          <w:tcPr>
            <w:tcW w:type="dxa" w:w="1224"/>
            <w:vAlign w:val="center"/>
          </w:tcPr>
          <w:p>
            <w:r/>
            <w:r>
              <w:rPr>
                <w:sz w:val="20"/>
              </w:rPr>
              <w:t>Latin</w:t>
            </w:r>
          </w:p>
        </w:tc>
        <w:tc>
          <w:tcPr>
            <w:tcW w:type="dxa" w:w="2088"/>
            <w:vAlign w:val="center"/>
          </w:tcPr>
          <w:p>
            <w:r/>
            <w:r>
              <w:rPr>
                <w:sz w:val="20"/>
              </w:rPr>
              <w:t>inter, intra</w:t>
            </w:r>
          </w:p>
        </w:tc>
        <w:tc>
          <w:tcPr>
            <w:tcW w:type="dxa" w:w="2808"/>
            <w:vAlign w:val="center"/>
          </w:tcPr>
          <w:p>
            <w:r/>
            <w:r>
              <w:rPr>
                <w:sz w:val="20"/>
              </w:rPr>
              <w:t>“between, within”</w:t>
            </w:r>
          </w:p>
        </w:tc>
      </w:tr>
      <w:tr>
        <w:tc>
          <w:tcPr>
            <w:tcW w:type="dxa" w:w="1512"/>
            <w:vAlign w:val="center"/>
          </w:tcPr>
          <w:p>
            <w:r/>
            <w:r>
              <w:rPr>
                <w:sz w:val="20"/>
              </w:rPr>
              <w:t>*h₁en-</w:t>
            </w:r>
          </w:p>
        </w:tc>
        <w:tc>
          <w:tcPr>
            <w:tcW w:type="dxa" w:w="1656"/>
            <w:vAlign w:val="center"/>
          </w:tcPr>
          <w:p>
            <w:r/>
            <w:r>
              <w:rPr>
                <w:sz w:val="20"/>
              </w:rPr>
              <w:t>“in”</w:t>
            </w:r>
          </w:p>
        </w:tc>
        <w:tc>
          <w:tcPr>
            <w:tcW w:type="dxa" w:w="1224"/>
            <w:vAlign w:val="center"/>
          </w:tcPr>
          <w:p>
            <w:r/>
            <w:r>
              <w:rPr>
                <w:sz w:val="20"/>
              </w:rPr>
              <w:t>Sanskrit</w:t>
            </w:r>
          </w:p>
        </w:tc>
        <w:tc>
          <w:tcPr>
            <w:tcW w:type="dxa" w:w="2088"/>
            <w:vAlign w:val="center"/>
          </w:tcPr>
          <w:p>
            <w:r/>
            <w:r>
              <w:rPr>
                <w:sz w:val="20"/>
              </w:rPr>
              <w:t>ántara-</w:t>
            </w:r>
          </w:p>
        </w:tc>
        <w:tc>
          <w:tcPr>
            <w:tcW w:type="dxa" w:w="2808"/>
            <w:vAlign w:val="center"/>
          </w:tcPr>
          <w:p>
            <w:r/>
            <w:r>
              <w:rPr>
                <w:sz w:val="20"/>
              </w:rPr>
              <w:t>“inner, between”</w:t>
            </w:r>
          </w:p>
        </w:tc>
      </w:tr>
      <w:tr>
        <w:tc>
          <w:tcPr>
            <w:tcW w:type="dxa" w:w="1512"/>
            <w:vAlign w:val="center"/>
          </w:tcPr>
          <w:p>
            <w:r/>
            <w:r>
              <w:rPr>
                <w:sz w:val="20"/>
              </w:rPr>
              <w:t>*h₁en-</w:t>
            </w:r>
          </w:p>
        </w:tc>
        <w:tc>
          <w:tcPr>
            <w:tcW w:type="dxa" w:w="1656"/>
            <w:vAlign w:val="center"/>
          </w:tcPr>
          <w:p>
            <w:r/>
            <w:r>
              <w:rPr>
                <w:sz w:val="20"/>
              </w:rPr>
              <w:t>“in”</w:t>
            </w:r>
          </w:p>
        </w:tc>
        <w:tc>
          <w:tcPr>
            <w:tcW w:type="dxa" w:w="1224"/>
            <w:vAlign w:val="center"/>
          </w:tcPr>
          <w:p>
            <w:r/>
            <w:r>
              <w:rPr>
                <w:sz w:val="20"/>
              </w:rPr>
              <w:t>Greek</w:t>
            </w:r>
          </w:p>
        </w:tc>
        <w:tc>
          <w:tcPr>
            <w:tcW w:type="dxa" w:w="2088"/>
            <w:vAlign w:val="center"/>
          </w:tcPr>
          <w:p>
            <w:r/>
            <w:r>
              <w:rPr>
                <w:sz w:val="20"/>
              </w:rPr>
              <w:t>éntera (n.pl.)</w:t>
            </w:r>
          </w:p>
        </w:tc>
        <w:tc>
          <w:tcPr>
            <w:tcW w:type="dxa" w:w="2808"/>
            <w:vAlign w:val="center"/>
          </w:tcPr>
          <w:p>
            <w:r/>
            <w:r>
              <w:rPr>
                <w:sz w:val="20"/>
              </w:rPr>
              <w:t>“innards” (lexicalized)</w:t>
            </w:r>
          </w:p>
        </w:tc>
      </w:tr>
      <w:tr>
        <w:tc>
          <w:tcPr>
            <w:tcW w:type="dxa" w:w="1512"/>
            <w:vAlign w:val="center"/>
          </w:tcPr>
          <w:p>
            <w:r/>
            <w:r>
              <w:rPr>
                <w:sz w:val="20"/>
              </w:rPr>
              <w:t>*eks-</w:t>
            </w:r>
          </w:p>
        </w:tc>
        <w:tc>
          <w:tcPr>
            <w:tcW w:type="dxa" w:w="1656"/>
            <w:vAlign w:val="center"/>
          </w:tcPr>
          <w:p>
            <w:r/>
            <w:r>
              <w:rPr>
                <w:sz w:val="20"/>
              </w:rPr>
              <w:t>“out”</w:t>
            </w:r>
          </w:p>
        </w:tc>
        <w:tc>
          <w:tcPr>
            <w:tcW w:type="dxa" w:w="1224"/>
            <w:vAlign w:val="center"/>
          </w:tcPr>
          <w:p>
            <w:r/>
            <w:r>
              <w:rPr>
                <w:sz w:val="20"/>
              </w:rPr>
              <w:t>Latin</w:t>
            </w:r>
          </w:p>
        </w:tc>
        <w:tc>
          <w:tcPr>
            <w:tcW w:type="dxa" w:w="2088"/>
            <w:vAlign w:val="center"/>
          </w:tcPr>
          <w:p>
            <w:r/>
            <w:r>
              <w:rPr>
                <w:sz w:val="20"/>
              </w:rPr>
              <w:t>exter, extra</w:t>
            </w:r>
          </w:p>
        </w:tc>
        <w:tc>
          <w:tcPr>
            <w:tcW w:type="dxa" w:w="2808"/>
            <w:vAlign w:val="center"/>
          </w:tcPr>
          <w:p>
            <w:r/>
            <w:r>
              <w:rPr>
                <w:sz w:val="20"/>
              </w:rPr>
              <w:t>“outer, outside”</w:t>
            </w:r>
          </w:p>
        </w:tc>
      </w:tr>
      <w:tr>
        <w:tc>
          <w:tcPr>
            <w:tcW w:type="dxa" w:w="1512"/>
            <w:vAlign w:val="center"/>
          </w:tcPr>
          <w:p>
            <w:r/>
            <w:r>
              <w:rPr>
                <w:sz w:val="20"/>
              </w:rPr>
              <w:t>*kom-</w:t>
            </w:r>
          </w:p>
        </w:tc>
        <w:tc>
          <w:tcPr>
            <w:tcW w:type="dxa" w:w="1656"/>
            <w:vAlign w:val="center"/>
          </w:tcPr>
          <w:p>
            <w:r/>
            <w:r>
              <w:rPr>
                <w:sz w:val="20"/>
              </w:rPr>
              <w:t>“with”</w:t>
            </w:r>
          </w:p>
        </w:tc>
        <w:tc>
          <w:tcPr>
            <w:tcW w:type="dxa" w:w="1224"/>
            <w:vAlign w:val="center"/>
          </w:tcPr>
          <w:p>
            <w:r/>
            <w:r>
              <w:rPr>
                <w:sz w:val="20"/>
              </w:rPr>
              <w:t>Latin</w:t>
            </w:r>
          </w:p>
        </w:tc>
        <w:tc>
          <w:tcPr>
            <w:tcW w:type="dxa" w:w="2088"/>
            <w:vAlign w:val="center"/>
          </w:tcPr>
          <w:p>
            <w:r/>
            <w:r>
              <w:rPr>
                <w:sz w:val="20"/>
              </w:rPr>
              <w:t>contra</w:t>
            </w:r>
          </w:p>
        </w:tc>
        <w:tc>
          <w:tcPr>
            <w:tcW w:type="dxa" w:w="2808"/>
            <w:vAlign w:val="center"/>
          </w:tcPr>
          <w:p>
            <w:r/>
            <w:r>
              <w:rPr>
                <w:sz w:val="20"/>
              </w:rPr>
              <w:t>“opposite, against”</w:t>
            </w:r>
          </w:p>
        </w:tc>
      </w:tr>
      <w:tr>
        <w:tc>
          <w:tcPr>
            <w:tcW w:type="dxa" w:w="1512"/>
            <w:vAlign w:val="center"/>
          </w:tcPr>
          <w:p>
            <w:r/>
            <w:r>
              <w:rPr>
                <w:sz w:val="20"/>
              </w:rPr>
              <w:t>*post-</w:t>
            </w:r>
          </w:p>
        </w:tc>
        <w:tc>
          <w:tcPr>
            <w:tcW w:type="dxa" w:w="1656"/>
            <w:vAlign w:val="center"/>
          </w:tcPr>
          <w:p>
            <w:r/>
            <w:r>
              <w:rPr>
                <w:sz w:val="20"/>
              </w:rPr>
              <w:t>“after”</w:t>
            </w:r>
          </w:p>
        </w:tc>
        <w:tc>
          <w:tcPr>
            <w:tcW w:type="dxa" w:w="1224"/>
            <w:vAlign w:val="center"/>
          </w:tcPr>
          <w:p>
            <w:r/>
            <w:r>
              <w:rPr>
                <w:sz w:val="20"/>
              </w:rPr>
              <w:t>Latin</w:t>
            </w:r>
          </w:p>
        </w:tc>
        <w:tc>
          <w:tcPr>
            <w:tcW w:type="dxa" w:w="2088"/>
            <w:vAlign w:val="center"/>
          </w:tcPr>
          <w:p>
            <w:r/>
            <w:r>
              <w:rPr>
                <w:sz w:val="20"/>
              </w:rPr>
              <w:t>posterus</w:t>
            </w:r>
          </w:p>
        </w:tc>
        <w:tc>
          <w:tcPr>
            <w:tcW w:type="dxa" w:w="2808"/>
            <w:vAlign w:val="center"/>
          </w:tcPr>
          <w:p>
            <w:r/>
            <w:r>
              <w:rPr>
                <w:sz w:val="20"/>
              </w:rPr>
              <w:t>“later, behind”</w:t>
            </w:r>
          </w:p>
        </w:tc>
      </w:tr>
      <w:tr>
        <w:tc>
          <w:tcPr>
            <w:tcW w:type="dxa" w:w="1512"/>
            <w:vAlign w:val="center"/>
          </w:tcPr>
          <w:p>
            <w:r/>
            <w:r>
              <w:rPr>
                <w:sz w:val="20"/>
              </w:rPr>
              <w:t>*pro-</w:t>
            </w:r>
          </w:p>
        </w:tc>
        <w:tc>
          <w:tcPr>
            <w:tcW w:type="dxa" w:w="1656"/>
            <w:vAlign w:val="center"/>
          </w:tcPr>
          <w:p>
            <w:r/>
            <w:r>
              <w:rPr>
                <w:sz w:val="20"/>
              </w:rPr>
              <w:t>“forward”</w:t>
            </w:r>
          </w:p>
        </w:tc>
        <w:tc>
          <w:tcPr>
            <w:tcW w:type="dxa" w:w="1224"/>
            <w:vAlign w:val="center"/>
          </w:tcPr>
          <w:p>
            <w:r/>
            <w:r>
              <w:rPr>
                <w:sz w:val="20"/>
              </w:rPr>
              <w:t>Avestan/OP</w:t>
            </w:r>
          </w:p>
        </w:tc>
        <w:tc>
          <w:tcPr>
            <w:tcW w:type="dxa" w:w="2088"/>
            <w:vAlign w:val="center"/>
          </w:tcPr>
          <w:p>
            <w:r/>
            <w:r>
              <w:rPr>
                <w:sz w:val="20"/>
              </w:rPr>
              <w:t>fratara-</w:t>
            </w:r>
          </w:p>
        </w:tc>
        <w:tc>
          <w:tcPr>
            <w:tcW w:type="dxa" w:w="2808"/>
            <w:vAlign w:val="center"/>
          </w:tcPr>
          <w:p>
            <w:r/>
            <w:r>
              <w:rPr>
                <w:sz w:val="20"/>
              </w:rPr>
              <w:t>“forward, more forward”</w:t>
            </w:r>
          </w:p>
        </w:tc>
      </w:tr>
      <w:tr>
        <w:tc>
          <w:tcPr>
            <w:tcW w:type="dxa" w:w="1512"/>
            <w:vAlign w:val="center"/>
          </w:tcPr>
          <w:p>
            <w:r/>
            <w:r>
              <w:rPr>
                <w:sz w:val="20"/>
              </w:rPr>
              <w:t>*pro-</w:t>
            </w:r>
          </w:p>
        </w:tc>
        <w:tc>
          <w:tcPr>
            <w:tcW w:type="dxa" w:w="1656"/>
            <w:vAlign w:val="center"/>
          </w:tcPr>
          <w:p>
            <w:r/>
            <w:r>
              <w:rPr>
                <w:sz w:val="20"/>
              </w:rPr>
              <w:t>“forward”</w:t>
            </w:r>
          </w:p>
        </w:tc>
        <w:tc>
          <w:tcPr>
            <w:tcW w:type="dxa" w:w="1224"/>
            <w:vAlign w:val="center"/>
          </w:tcPr>
          <w:p>
            <w:r/>
            <w:r>
              <w:rPr>
                <w:sz w:val="20"/>
              </w:rPr>
              <w:t>Greek</w:t>
            </w:r>
          </w:p>
        </w:tc>
        <w:tc>
          <w:tcPr>
            <w:tcW w:type="dxa" w:w="2088"/>
            <w:vAlign w:val="center"/>
          </w:tcPr>
          <w:p>
            <w:r/>
            <w:r>
              <w:rPr>
                <w:sz w:val="20"/>
              </w:rPr>
              <w:t>próteros</w:t>
            </w:r>
          </w:p>
        </w:tc>
        <w:tc>
          <w:tcPr>
            <w:tcW w:type="dxa" w:w="2808"/>
            <w:vAlign w:val="center"/>
          </w:tcPr>
          <w:p>
            <w:r/>
            <w:r>
              <w:rPr>
                <w:sz w:val="20"/>
              </w:rPr>
              <w:t>“former, before”</w:t>
            </w:r>
          </w:p>
        </w:tc>
      </w:tr>
      <w:tr>
        <w:tc>
          <w:tcPr>
            <w:tcW w:type="dxa" w:w="1512"/>
            <w:vAlign w:val="center"/>
          </w:tcPr>
          <w:p>
            <w:r/>
            <w:r>
              <w:rPr>
                <w:sz w:val="20"/>
              </w:rPr>
              <w:t>*ápa-</w:t>
            </w:r>
          </w:p>
        </w:tc>
        <w:tc>
          <w:tcPr>
            <w:tcW w:type="dxa" w:w="1656"/>
            <w:vAlign w:val="center"/>
          </w:tcPr>
          <w:p>
            <w:r/>
            <w:r>
              <w:rPr>
                <w:sz w:val="20"/>
              </w:rPr>
              <w:t>“away”</w:t>
            </w:r>
          </w:p>
        </w:tc>
        <w:tc>
          <w:tcPr>
            <w:tcW w:type="dxa" w:w="1224"/>
            <w:vAlign w:val="center"/>
          </w:tcPr>
          <w:p>
            <w:r/>
            <w:r>
              <w:rPr>
                <w:sz w:val="20"/>
              </w:rPr>
              <w:t>Sanskrit</w:t>
            </w:r>
          </w:p>
        </w:tc>
        <w:tc>
          <w:tcPr>
            <w:tcW w:type="dxa" w:w="2088"/>
            <w:vAlign w:val="center"/>
          </w:tcPr>
          <w:p>
            <w:r/>
            <w:r>
              <w:rPr>
                <w:sz w:val="20"/>
              </w:rPr>
              <w:t>ápara-</w:t>
            </w:r>
          </w:p>
        </w:tc>
        <w:tc>
          <w:tcPr>
            <w:tcW w:type="dxa" w:w="2808"/>
            <w:vAlign w:val="center"/>
          </w:tcPr>
          <w:p>
            <w:r/>
            <w:r>
              <w:rPr>
                <w:sz w:val="20"/>
              </w:rPr>
              <w:t>“posterior, the other”</w:t>
            </w:r>
          </w:p>
        </w:tc>
      </w:tr>
      <w:tr>
        <w:tc>
          <w:tcPr>
            <w:tcW w:type="dxa" w:w="1512"/>
            <w:vAlign w:val="center"/>
          </w:tcPr>
          <w:p>
            <w:r/>
            <w:r>
              <w:rPr>
                <w:sz w:val="20"/>
              </w:rPr>
              <w:t>*ápa-</w:t>
            </w:r>
          </w:p>
        </w:tc>
        <w:tc>
          <w:tcPr>
            <w:tcW w:type="dxa" w:w="1656"/>
            <w:vAlign w:val="center"/>
          </w:tcPr>
          <w:p>
            <w:r/>
            <w:r>
              <w:rPr>
                <w:sz w:val="20"/>
              </w:rPr>
              <w:t>“away”</w:t>
            </w:r>
          </w:p>
        </w:tc>
        <w:tc>
          <w:tcPr>
            <w:tcW w:type="dxa" w:w="1224"/>
            <w:vAlign w:val="center"/>
          </w:tcPr>
          <w:p>
            <w:r/>
            <w:r>
              <w:rPr>
                <w:sz w:val="20"/>
              </w:rPr>
              <w:t>Avestan</w:t>
            </w:r>
          </w:p>
        </w:tc>
        <w:tc>
          <w:tcPr>
            <w:tcW w:type="dxa" w:w="2088"/>
            <w:vAlign w:val="center"/>
          </w:tcPr>
          <w:p>
            <w:r/>
            <w:r>
              <w:rPr>
                <w:sz w:val="20"/>
              </w:rPr>
              <w:t>apataram</w:t>
            </w:r>
          </w:p>
        </w:tc>
        <w:tc>
          <w:tcPr>
            <w:tcW w:type="dxa" w:w="2808"/>
            <w:vAlign w:val="center"/>
          </w:tcPr>
          <w:p>
            <w:r/>
            <w:r>
              <w:rPr>
                <w:sz w:val="20"/>
              </w:rPr>
              <w:t>“farther away”</w:t>
            </w:r>
          </w:p>
        </w:tc>
      </w:tr>
      <w:tr>
        <w:tc>
          <w:tcPr>
            <w:tcW w:type="dxa" w:w="1512"/>
            <w:vAlign w:val="center"/>
          </w:tcPr>
          <w:p>
            <w:r/>
            <w:r>
              <w:rPr>
                <w:sz w:val="20"/>
              </w:rPr>
              <w:t>*deḱs-</w:t>
            </w:r>
          </w:p>
        </w:tc>
        <w:tc>
          <w:tcPr>
            <w:tcW w:type="dxa" w:w="1656"/>
            <w:vAlign w:val="center"/>
          </w:tcPr>
          <w:p>
            <w:r/>
            <w:r>
              <w:rPr>
                <w:sz w:val="20"/>
              </w:rPr>
              <w:t>“right”</w:t>
            </w:r>
          </w:p>
        </w:tc>
        <w:tc>
          <w:tcPr>
            <w:tcW w:type="dxa" w:w="1224"/>
            <w:vAlign w:val="center"/>
          </w:tcPr>
          <w:p>
            <w:r/>
            <w:r>
              <w:rPr>
                <w:sz w:val="20"/>
              </w:rPr>
              <w:t>Latin</w:t>
            </w:r>
          </w:p>
        </w:tc>
        <w:tc>
          <w:tcPr>
            <w:tcW w:type="dxa" w:w="2088"/>
            <w:vAlign w:val="center"/>
          </w:tcPr>
          <w:p>
            <w:r/>
            <w:r>
              <w:rPr>
                <w:sz w:val="20"/>
              </w:rPr>
              <w:t>dexter</w:t>
            </w:r>
          </w:p>
        </w:tc>
        <w:tc>
          <w:tcPr>
            <w:tcW w:type="dxa" w:w="2808"/>
            <w:vAlign w:val="center"/>
          </w:tcPr>
          <w:p>
            <w:r/>
            <w:r>
              <w:rPr>
                <w:sz w:val="20"/>
              </w:rPr>
              <w:t>“right-handed”</w:t>
            </w:r>
          </w:p>
        </w:tc>
      </w:tr>
      <w:tr>
        <w:tc>
          <w:tcPr>
            <w:tcW w:type="dxa" w:w="1512"/>
            <w:vAlign w:val="center"/>
          </w:tcPr>
          <w:p>
            <w:r/>
            <w:r>
              <w:rPr>
                <w:sz w:val="20"/>
              </w:rPr>
              <w:t>*deḱs-</w:t>
            </w:r>
          </w:p>
        </w:tc>
        <w:tc>
          <w:tcPr>
            <w:tcW w:type="dxa" w:w="1656"/>
            <w:vAlign w:val="center"/>
          </w:tcPr>
          <w:p>
            <w:r/>
            <w:r>
              <w:rPr>
                <w:sz w:val="20"/>
              </w:rPr>
              <w:t>“right”</w:t>
            </w:r>
          </w:p>
        </w:tc>
        <w:tc>
          <w:tcPr>
            <w:tcW w:type="dxa" w:w="1224"/>
            <w:vAlign w:val="center"/>
          </w:tcPr>
          <w:p>
            <w:r/>
            <w:r>
              <w:rPr>
                <w:sz w:val="20"/>
              </w:rPr>
              <w:t>Greek</w:t>
            </w:r>
          </w:p>
        </w:tc>
        <w:tc>
          <w:tcPr>
            <w:tcW w:type="dxa" w:w="2088"/>
            <w:vAlign w:val="center"/>
          </w:tcPr>
          <w:p>
            <w:r/>
            <w:r>
              <w:rPr>
                <w:sz w:val="20"/>
              </w:rPr>
              <w:t>deksiterós</w:t>
            </w:r>
          </w:p>
        </w:tc>
        <w:tc>
          <w:tcPr>
            <w:tcW w:type="dxa" w:w="2808"/>
            <w:vAlign w:val="center"/>
          </w:tcPr>
          <w:p>
            <w:r/>
            <w:r>
              <w:rPr>
                <w:sz w:val="20"/>
              </w:rPr>
              <w:t>“right (hand)”</w:t>
            </w:r>
          </w:p>
        </w:tc>
      </w:tr>
      <w:tr>
        <w:tc>
          <w:tcPr>
            <w:tcW w:type="dxa" w:w="1512"/>
            <w:vAlign w:val="center"/>
          </w:tcPr>
          <w:p>
            <w:r/>
            <w:r>
              <w:rPr>
                <w:sz w:val="20"/>
              </w:rPr>
              <w:t>*swíþ-</w:t>
            </w:r>
          </w:p>
        </w:tc>
        <w:tc>
          <w:tcPr>
            <w:tcW w:type="dxa" w:w="1656"/>
            <w:vAlign w:val="center"/>
          </w:tcPr>
          <w:p>
            <w:r/>
            <w:r>
              <w:rPr>
                <w:sz w:val="20"/>
              </w:rPr>
              <w:t>“strong, right”</w:t>
            </w:r>
          </w:p>
        </w:tc>
        <w:tc>
          <w:tcPr>
            <w:tcW w:type="dxa" w:w="1224"/>
            <w:vAlign w:val="center"/>
          </w:tcPr>
          <w:p>
            <w:r/>
            <w:r>
              <w:rPr>
                <w:sz w:val="20"/>
              </w:rPr>
              <w:t>Old English</w:t>
            </w:r>
          </w:p>
        </w:tc>
        <w:tc>
          <w:tcPr>
            <w:tcW w:type="dxa" w:w="2088"/>
            <w:vAlign w:val="center"/>
          </w:tcPr>
          <w:p>
            <w:r/>
            <w:r>
              <w:rPr>
                <w:sz w:val="20"/>
              </w:rPr>
              <w:t>swiþro</w:t>
            </w:r>
          </w:p>
        </w:tc>
        <w:tc>
          <w:tcPr>
            <w:tcW w:type="dxa" w:w="2808"/>
            <w:vAlign w:val="center"/>
          </w:tcPr>
          <w:p>
            <w:r/>
            <w:r>
              <w:rPr>
                <w:sz w:val="20"/>
              </w:rPr>
              <w:t>“right (hand or side)”</w:t>
            </w:r>
          </w:p>
        </w:tc>
      </w:tr>
      <w:tr>
        <w:tc>
          <w:tcPr>
            <w:tcW w:type="dxa" w:w="1512"/>
            <w:vAlign w:val="center"/>
          </w:tcPr>
          <w:p>
            <w:r/>
            <w:r>
              <w:rPr>
                <w:sz w:val="20"/>
              </w:rPr>
              <w:t>*kʷo-</w:t>
            </w:r>
          </w:p>
        </w:tc>
        <w:tc>
          <w:tcPr>
            <w:tcW w:type="dxa" w:w="1656"/>
            <w:vAlign w:val="center"/>
          </w:tcPr>
          <w:p>
            <w:r/>
            <w:r>
              <w:rPr>
                <w:sz w:val="20"/>
              </w:rPr>
              <w:t>“who”</w:t>
            </w:r>
          </w:p>
        </w:tc>
        <w:tc>
          <w:tcPr>
            <w:tcW w:type="dxa" w:w="1224"/>
            <w:vAlign w:val="center"/>
          </w:tcPr>
          <w:p>
            <w:r/>
            <w:r>
              <w:rPr>
                <w:sz w:val="20"/>
              </w:rPr>
              <w:t>Latin</w:t>
            </w:r>
          </w:p>
        </w:tc>
        <w:tc>
          <w:tcPr>
            <w:tcW w:type="dxa" w:w="2088"/>
            <w:vAlign w:val="center"/>
          </w:tcPr>
          <w:p>
            <w:r/>
            <w:r>
              <w:rPr>
                <w:sz w:val="20"/>
              </w:rPr>
              <w:t>uter</w:t>
            </w:r>
          </w:p>
        </w:tc>
        <w:tc>
          <w:tcPr>
            <w:tcW w:type="dxa" w:w="2808"/>
            <w:vAlign w:val="center"/>
          </w:tcPr>
          <w:p>
            <w:r/>
            <w:r>
              <w:rPr>
                <w:sz w:val="20"/>
              </w:rPr>
              <w:t>“which of two”</w:t>
            </w:r>
          </w:p>
        </w:tc>
      </w:tr>
      <w:tr>
        <w:tc>
          <w:tcPr>
            <w:tcW w:type="dxa" w:w="1512"/>
            <w:vAlign w:val="center"/>
          </w:tcPr>
          <w:p>
            <w:r/>
            <w:r>
              <w:rPr>
                <w:sz w:val="20"/>
              </w:rPr>
              <w:t>*kʷo-</w:t>
            </w:r>
          </w:p>
        </w:tc>
        <w:tc>
          <w:tcPr>
            <w:tcW w:type="dxa" w:w="1656"/>
            <w:vAlign w:val="center"/>
          </w:tcPr>
          <w:p>
            <w:r/>
            <w:r>
              <w:rPr>
                <w:sz w:val="20"/>
              </w:rPr>
              <w:t>“who”</w:t>
            </w:r>
          </w:p>
        </w:tc>
        <w:tc>
          <w:tcPr>
            <w:tcW w:type="dxa" w:w="1224"/>
            <w:vAlign w:val="center"/>
          </w:tcPr>
          <w:p>
            <w:r/>
            <w:r>
              <w:rPr>
                <w:sz w:val="20"/>
              </w:rPr>
              <w:t>Sanskrit</w:t>
            </w:r>
          </w:p>
        </w:tc>
        <w:tc>
          <w:tcPr>
            <w:tcW w:type="dxa" w:w="2088"/>
            <w:vAlign w:val="center"/>
          </w:tcPr>
          <w:p>
            <w:r/>
            <w:r>
              <w:rPr>
                <w:sz w:val="20"/>
              </w:rPr>
              <w:t>katára-</w:t>
            </w:r>
          </w:p>
        </w:tc>
        <w:tc>
          <w:tcPr>
            <w:tcW w:type="dxa" w:w="2808"/>
            <w:vAlign w:val="center"/>
          </w:tcPr>
          <w:p>
            <w:r/>
            <w:r>
              <w:rPr>
                <w:sz w:val="20"/>
              </w:rPr>
              <w:t>“which of two”</w:t>
            </w:r>
          </w:p>
        </w:tc>
      </w:tr>
      <w:tr>
        <w:tc>
          <w:tcPr>
            <w:tcW w:type="dxa" w:w="1512"/>
            <w:vAlign w:val="center"/>
          </w:tcPr>
          <w:p>
            <w:r/>
            <w:r>
              <w:rPr>
                <w:sz w:val="20"/>
              </w:rPr>
              <w:t>*kʷo-</w:t>
            </w:r>
          </w:p>
        </w:tc>
        <w:tc>
          <w:tcPr>
            <w:tcW w:type="dxa" w:w="1656"/>
            <w:vAlign w:val="center"/>
          </w:tcPr>
          <w:p>
            <w:r/>
            <w:r>
              <w:rPr>
                <w:sz w:val="20"/>
              </w:rPr>
              <w:t>“who”</w:t>
            </w:r>
          </w:p>
        </w:tc>
        <w:tc>
          <w:tcPr>
            <w:tcW w:type="dxa" w:w="1224"/>
            <w:vAlign w:val="center"/>
          </w:tcPr>
          <w:p>
            <w:r/>
            <w:r>
              <w:rPr>
                <w:sz w:val="20"/>
              </w:rPr>
              <w:t>Avestan</w:t>
            </w:r>
          </w:p>
        </w:tc>
        <w:tc>
          <w:tcPr>
            <w:tcW w:type="dxa" w:w="2088"/>
            <w:vAlign w:val="center"/>
          </w:tcPr>
          <w:p>
            <w:r/>
            <w:r>
              <w:rPr>
                <w:sz w:val="20"/>
              </w:rPr>
              <w:t>katāra-</w:t>
            </w:r>
          </w:p>
        </w:tc>
        <w:tc>
          <w:tcPr>
            <w:tcW w:type="dxa" w:w="2808"/>
            <w:vAlign w:val="center"/>
          </w:tcPr>
          <w:p>
            <w:r/>
            <w:r>
              <w:rPr>
                <w:sz w:val="20"/>
              </w:rPr>
              <w:t>“which of two”</w:t>
            </w:r>
          </w:p>
        </w:tc>
      </w:tr>
      <w:tr>
        <w:tc>
          <w:tcPr>
            <w:tcW w:type="dxa" w:w="1512"/>
            <w:vAlign w:val="center"/>
          </w:tcPr>
          <w:p>
            <w:r/>
            <w:r>
              <w:rPr>
                <w:sz w:val="20"/>
              </w:rPr>
              <w:t>*kʷo-</w:t>
            </w:r>
          </w:p>
        </w:tc>
        <w:tc>
          <w:tcPr>
            <w:tcW w:type="dxa" w:w="1656"/>
            <w:vAlign w:val="center"/>
          </w:tcPr>
          <w:p>
            <w:r/>
            <w:r>
              <w:rPr>
                <w:sz w:val="20"/>
              </w:rPr>
              <w:t>“who”</w:t>
            </w:r>
          </w:p>
        </w:tc>
        <w:tc>
          <w:tcPr>
            <w:tcW w:type="dxa" w:w="1224"/>
            <w:vAlign w:val="center"/>
          </w:tcPr>
          <w:p>
            <w:r/>
            <w:r>
              <w:rPr>
                <w:sz w:val="20"/>
              </w:rPr>
              <w:t>Greek</w:t>
            </w:r>
          </w:p>
        </w:tc>
        <w:tc>
          <w:tcPr>
            <w:tcW w:type="dxa" w:w="2088"/>
            <w:vAlign w:val="center"/>
          </w:tcPr>
          <w:p>
            <w:r/>
            <w:r>
              <w:rPr>
                <w:sz w:val="20"/>
              </w:rPr>
              <w:t>póteros</w:t>
            </w:r>
          </w:p>
        </w:tc>
        <w:tc>
          <w:tcPr>
            <w:tcW w:type="dxa" w:w="2808"/>
            <w:vAlign w:val="center"/>
          </w:tcPr>
          <w:p>
            <w:r/>
            <w:r>
              <w:rPr>
                <w:sz w:val="20"/>
              </w:rPr>
              <w:t>“which of two”</w:t>
            </w:r>
          </w:p>
        </w:tc>
      </w:tr>
      <w:tr>
        <w:tc>
          <w:tcPr>
            <w:tcW w:type="dxa" w:w="1512"/>
            <w:vAlign w:val="center"/>
          </w:tcPr>
          <w:p>
            <w:r/>
            <w:r>
              <w:rPr>
                <w:sz w:val="20"/>
              </w:rPr>
              <w:t>*al-</w:t>
            </w:r>
          </w:p>
        </w:tc>
        <w:tc>
          <w:tcPr>
            <w:tcW w:type="dxa" w:w="1656"/>
            <w:vAlign w:val="center"/>
          </w:tcPr>
          <w:p>
            <w:r/>
            <w:r>
              <w:rPr>
                <w:sz w:val="20"/>
              </w:rPr>
              <w:t>“other”</w:t>
            </w:r>
          </w:p>
        </w:tc>
        <w:tc>
          <w:tcPr>
            <w:tcW w:type="dxa" w:w="1224"/>
            <w:vAlign w:val="center"/>
          </w:tcPr>
          <w:p>
            <w:r/>
            <w:r>
              <w:rPr>
                <w:sz w:val="20"/>
              </w:rPr>
              <w:t>Latin</w:t>
            </w:r>
          </w:p>
        </w:tc>
        <w:tc>
          <w:tcPr>
            <w:tcW w:type="dxa" w:w="2088"/>
            <w:vAlign w:val="center"/>
          </w:tcPr>
          <w:p>
            <w:r/>
            <w:r>
              <w:rPr>
                <w:sz w:val="20"/>
              </w:rPr>
              <w:t>alter</w:t>
            </w:r>
          </w:p>
        </w:tc>
        <w:tc>
          <w:tcPr>
            <w:tcW w:type="dxa" w:w="2808"/>
            <w:vAlign w:val="center"/>
          </w:tcPr>
          <w:p>
            <w:r/>
            <w:r>
              <w:rPr>
                <w:sz w:val="20"/>
              </w:rPr>
              <w:t>“the other (of two)”</w:t>
            </w:r>
          </w:p>
        </w:tc>
      </w:tr>
      <w:tr>
        <w:tc>
          <w:tcPr>
            <w:tcW w:type="dxa" w:w="1512"/>
            <w:vAlign w:val="center"/>
          </w:tcPr>
          <w:p>
            <w:r/>
            <w:r>
              <w:rPr>
                <w:sz w:val="20"/>
              </w:rPr>
              <w:t>*anyá-</w:t>
            </w:r>
          </w:p>
        </w:tc>
        <w:tc>
          <w:tcPr>
            <w:tcW w:type="dxa" w:w="1656"/>
            <w:vAlign w:val="center"/>
          </w:tcPr>
          <w:p>
            <w:r/>
            <w:r>
              <w:rPr>
                <w:sz w:val="20"/>
              </w:rPr>
              <w:t>“other”</w:t>
            </w:r>
          </w:p>
        </w:tc>
        <w:tc>
          <w:tcPr>
            <w:tcW w:type="dxa" w:w="1224"/>
            <w:vAlign w:val="center"/>
          </w:tcPr>
          <w:p>
            <w:r/>
            <w:r>
              <w:rPr>
                <w:sz w:val="20"/>
              </w:rPr>
              <w:t>Sanskrit</w:t>
            </w:r>
          </w:p>
        </w:tc>
        <w:tc>
          <w:tcPr>
            <w:tcW w:type="dxa" w:w="2088"/>
            <w:vAlign w:val="center"/>
          </w:tcPr>
          <w:p>
            <w:r/>
            <w:r>
              <w:rPr>
                <w:sz w:val="20"/>
              </w:rPr>
              <w:t>anyatara-</w:t>
            </w:r>
          </w:p>
        </w:tc>
        <w:tc>
          <w:tcPr>
            <w:tcW w:type="dxa" w:w="2808"/>
            <w:vAlign w:val="center"/>
          </w:tcPr>
          <w:p>
            <w:r/>
            <w:r>
              <w:rPr>
                <w:sz w:val="20"/>
              </w:rPr>
              <w:t>“the other (of two)”</w:t>
            </w:r>
          </w:p>
        </w:tc>
      </w:tr>
      <w:tr>
        <w:tc>
          <w:tcPr>
            <w:tcW w:type="dxa" w:w="1512"/>
            <w:vAlign w:val="center"/>
          </w:tcPr>
          <w:p>
            <w:r/>
            <w:r>
              <w:rPr>
                <w:sz w:val="20"/>
              </w:rPr>
              <w:t>(deictic)</w:t>
            </w:r>
          </w:p>
        </w:tc>
        <w:tc>
          <w:tcPr>
            <w:tcW w:type="dxa" w:w="1656"/>
            <w:vAlign w:val="center"/>
          </w:tcPr>
          <w:p>
            <w:r/>
            <w:r>
              <w:rPr>
                <w:sz w:val="20"/>
              </w:rPr>
              <w:t>“other”</w:t>
            </w:r>
          </w:p>
        </w:tc>
        <w:tc>
          <w:tcPr>
            <w:tcW w:type="dxa" w:w="1224"/>
            <w:vAlign w:val="center"/>
          </w:tcPr>
          <w:p>
            <w:r/>
            <w:r>
              <w:rPr>
                <w:sz w:val="20"/>
              </w:rPr>
              <w:t>Greek</w:t>
            </w:r>
          </w:p>
        </w:tc>
        <w:tc>
          <w:tcPr>
            <w:tcW w:type="dxa" w:w="2088"/>
            <w:vAlign w:val="center"/>
          </w:tcPr>
          <w:p>
            <w:r/>
            <w:r>
              <w:rPr>
                <w:sz w:val="20"/>
              </w:rPr>
              <w:t>héteros</w:t>
            </w:r>
          </w:p>
        </w:tc>
        <w:tc>
          <w:tcPr>
            <w:tcW w:type="dxa" w:w="2808"/>
            <w:vAlign w:val="center"/>
          </w:tcPr>
          <w:p>
            <w:r/>
            <w:r>
              <w:rPr>
                <w:sz w:val="20"/>
              </w:rPr>
              <w:t>“the other”</w:t>
            </w:r>
          </w:p>
        </w:tc>
      </w:tr>
    </w:tbl>
    <w:p/>
    <w:p>
      <w:pPr>
        <w:pStyle w:val="Heading2"/>
      </w:pPr>
      <w:r>
        <w:rPr>
          <w:color w:val="000000"/>
        </w:rPr>
        <w:t>2.1 Latin</w:t>
      </w:r>
    </w:p>
    <w:p>
      <w:r>
        <w:t>Latin preserves the most extensive paradigm. The bare alternants *-trā and *-trō (in the abl.sg.f. and abl.sg.m./n. respectively) give the lexicalized adverbs citra, ultra, intra, extra, contra (de Vaan 2008). One Latin form deserves separate mention: matertera “maternal aunt” (de Vaan 2008: 369), etymologically a *-tero- formation on māter “mother” — “the analogous mother (of two; mother and aunt).” This is a Latin-internal extension of the suffix to a kinship term, and we mention it here as it touches the kinship-suffix question we leave for §11.</w:t>
      </w:r>
    </w:p>
    <w:p>
      <w:pPr>
        <w:pStyle w:val="Heading2"/>
      </w:pPr>
      <w:r>
        <w:rPr>
          <w:color w:val="000000"/>
        </w:rPr>
        <w:t>2.2 Sanskrit</w:t>
      </w:r>
    </w:p>
    <w:p>
      <w:r>
        <w:t>Beyond the *-tara- adjectives shown in Table 1, Sanskrit preserves a closed paradigm of place-directional adverbs in -tra (the bare alternant *-tro): átra “here,” tátra “there,” yátra “where (relative),” kútra “where (interrogative),” sarvátra “everywhere,” anyátra “elsewhere.” The lexicalized substantive āntrá- “entrails, intestines” (the neuter of ántara- “inner”) preserves a body-part-from-spatial-adjective lexicalization: Latin intestina, Greek éntera, and Sanskrit āntrá- all independently lexicalize the neuter of *h₁en-tero- as “the inner parts” &gt; “entrails.” Three branches converging on the same lexicalization confirm the PIE-level age of the spatial adjective.</w:t>
      </w:r>
    </w:p>
    <w:p>
      <w:pPr>
        <w:pStyle w:val="Heading2"/>
      </w:pPr>
      <w:r>
        <w:rPr>
          <w:color w:val="000000"/>
        </w:rPr>
        <w:t>2.3 Avestan and Old Persian: the most archaic system</w:t>
      </w:r>
    </w:p>
    <w:p>
      <w:r>
        <w:t>The Iranian evidence preserves the most archaic system. Milizia (2020), in his chapter on Old Iranian comparative formations, notes explicitly that the local-particle derivatives in *-tara-/-tama- belong to “the oldest nucleus of the -tara-/-tama- formations” (2020: 268). The crucial point is what Milizia documents at 2020: 271: “the only Old Persian documented -tara-/-tama-formations are derivatives of local particles/preverbs.” In Old Persian the entire attested *-tero- paradigm is spatial-directional. There are no gradational comparatives in *-tara- in Old Persian. This is not a corpus accident; it reflects, on Milizia’s reading, the most archaic preserved layer of the formation. The expansion to gradational comparison (“more X” on adjective stems) is a later development, attested in Greek and Indo-Iranian (and partially elsewhere) but absent from the most archaic Old Persian layer.</w:t>
      </w:r>
    </w:p>
    <w:p>
      <w:pPr>
        <w:pStyle w:val="Heading2"/>
      </w:pPr>
      <w:r>
        <w:rPr>
          <w:color w:val="000000"/>
        </w:rPr>
        <w:t>2.4 Greek and Hittite</w:t>
      </w:r>
    </w:p>
    <w:p>
      <w:r>
        <w:t>Greek attests both the spatial-direction paradigm shown in Table 1 and (innovatively) the gradational “more X” function (sophṓteros “wiser”). Hittite, by contrast, preserves only one *-tero-/*-(e)ro- form productively: kattera- “lower; inferior; further along” (Kloekhorst 2008: 538–539), built on the “below”-particle katt-. We discuss kattera- in detail in §6. The relevant point for the paradigm is that Anatolian preserves the bare alternant in just this one lexicalized formation; the productive contrastive function in Anatolian is taken over by *-eti-Ho- (Hittite -ezziya-), in ḫantezziya- “first, foremost” (from ḫant- “forehead, front”) and appezziya- “back, last” (from āppa “back”). The Anatolian distribution we develop in §8.</w:t>
      </w:r>
    </w:p>
    <w:p>
      <w:pPr>
        <w:pStyle w:val="Heading2"/>
      </w:pPr>
      <w:r>
        <w:rPr>
          <w:color w:val="000000"/>
        </w:rPr>
        <w:t>2.5 The handbook’s verdict on the original function</w:t>
      </w:r>
    </w:p>
    <w:p>
      <w:r>
        <w:t>The Handbook of Comparative and Historical Indo-European Linguistics (vol. 3), in its treatment of Indo-Iranian morphology, makes the original function of *-tero- and *-(e)ro- explicit: “In the other IE languages, *-tero- and *-tm̥Ho- (and shorter *-ero-, *-m̥Ho-) are confined to derivations of pronouns and particles, a usage also well established in PII. Thus, the expansion into adjectival gradation seems to be a common innovation of Greek and Indo-Iranian.”</w:t>
      </w:r>
    </w:p>
    <w:p>
      <w:r>
        <w:rPr>
          <w:b/>
        </w:rPr>
        <w:t>This is the standard view, not our framework’s claim.</w:t>
      </w:r>
      <w:r>
        <w:t xml:space="preserve"> The handbook itself states that *-tero- and *-(e)ro- in the other IE branches — Italic, Anatolian, Tocharian, Celtic, Germanic, Balto-Slavic, Armenian — are confined to derivations from pronouns and particles. The “more X” gradational comparison most students learn first from a Greek or Sanskrit grammar is a Greek and Indo-Iranian innovation. The original PIE function was deriving spatial-relational adjectives from local particles.</w:t>
      </w:r>
    </w:p>
    <w:p>
      <w:pPr>
        <w:pStyle w:val="Heading2"/>
      </w:pPr>
      <w:r>
        <w:rPr>
          <w:color w:val="000000"/>
        </w:rPr>
        <w:t>2.6 What this means for the framework</w:t>
      </w:r>
    </w:p>
    <w:p>
      <w:r>
        <w:t>We have established the empirical center. The PIE *-tero- suffix, in its oldest documented function, is the systematic morpheme for spatial-direction marking. It applies to local particles — *ki, *ol, *en, *eks, *kom, *deḱs-, *post, *uper, *al-, *kʷo-, *fra, *apa, *upa, *ánta, *ud, *ádha, *pro, *katá — and yields a spatial-direction adjective in each case.</w:t>
      </w:r>
    </w:p>
    <w:p>
      <w:r>
        <w:t>The standard treatment describes this paradigm and stops there. There is no etymological account in the published literature of why this particular suffix should perform this particular function. It just is. The framework supplies the missing motivation: pre-PIE *t/d-er- was a body-part word for “hand,” and the lateralization function (HAND &gt; RIGHT-HAND &gt; RIGHT-SIDE &gt; BINARY-SPATIAL-CONTRASTIVE) generalized productively across spatial-relational particles. Once the suffix had become the spatial-direction marker on *deḱs- (“right” → “right-handed” → “right-side”), it was natural for it to spread to other lateralization pairs (front/back, upper/lower, inner/outer, this/that, here/there, near/far), to pronominal binary contrastives (which-of-two, the-other, each-of-two), and finally — in Greek and Indo-Iranian — to gradational comparison (more X).</w:t>
      </w:r>
    </w:p>
    <w:p>
      <w:r>
        <w:t>The story explains what we observe. It explains why *-tero- is the spatial-direction marker rather than some other suffix: because it had spatial-direction semantics built in from its body-part etymological source. It explains why the lateralization compounds (ambidexter, deksiterós, swiþro) are still semantically transparent: because they preserve the original function in its most direct lexical context. And it explains why the gradational extension is innovative in Greek and Indo-Iranian: because the binary-contrastive function (“the X-er one of the two”) was a natural starting point for gradational “more X” to develop from.</w:t>
      </w:r>
    </w:p>
    <w:p>
      <w:pPr>
        <w:pStyle w:val="Heading1"/>
      </w:pPr>
      <w:r>
        <w:rPr>
          <w:color w:val="000000"/>
        </w:rPr>
        <w:t>3. The argument from ambidexter</w:t>
      </w:r>
    </w:p>
    <w:p>
      <w:r>
        <w:t>Within the spatial-direction paradigm laid out in §2, the Latin compound ambidexter is the morphologically transparent witness. It parses as ambi- (PIE *h₂mbʰi “on both sides”) + deḱs- (PIE *deḱs- “right,” with cognates Greek dexiós, Sanskrit dákṣiṇa-) + -i- (compound-junction vowel) + -tero- + Latin nominal ending. The compound is etymologically trimorphemic: “on-both-sides + right-handed + CONTRASTIVE.” Festus’s gloss preserves the same parse: “ambidexter qui dexteros ambo manus habet” — “ambidextrous, who has both hands as right (hands)” (Festus, ed. Lindsay 1913: 5). The standard gloss “having the right (hand) on both sides” is itself an ancient recognition that ambi- governs the whole compound, deḱs- carries the laterality, and -tero- marks the contrastive/relational character of the right-handed orientation.</w:t>
      </w:r>
    </w:p>
    <w:p>
      <w:r>
        <w:t>The framework makes one further claim about this compound, which is that the -tero- element carries an etymological body-part content that is still synchronically recoverable. The compound describes a property of hands. The morpheme that converts the property word deḱs- “right” into the relational/contrastive form is -tero-. If -tero- has, at the deepest etymological level, a body-part content (as the framework proposes), then the compound is doubly hand-related: deḱs- gives the laterality content, and -tero- gives the body-part content. The compound is, on this reading, “having the right-hand-side on both sides” in a literal etymological sense.</w:t>
      </w:r>
    </w:p>
    <w:p>
      <w:r>
        <w:t>The Latin compound and its Greek cognate deksiterós share the same morphological structure (deḱs-i-tero-) and the same semantics. Greek does not borrow the morpheme from Latin, nor Latin from Greek; both inherit the structure from PIE. Already in PIE, then, the *-tero- suffix was applied to a body-part-related stem (deḱs- “right,” in the lateralization domain), and the result was a morphologically transparent compound naming a hand-related property. The pattern is exactly what we would expect if -tero- itself were, at the deepest level, the inherited PIE descendant of a body-part word for “hand.”</w:t>
      </w:r>
    </w:p>
    <w:p>
      <w:r>
        <w:t>The same pattern is preserved in Old English swiþro “right (hand or side),” a comparative formation on swiþ- “strong” — “the stronger one (of two)” — with -ero (the regular Germanic reflex of *-(e)ro-) doing the same lateralization work. The pattern is not specifically Italo-Greek; it is inherited PIE morphology, attested across multiple branches with the contrastive suffix doing the work of converting a property name (right, strong) into the lateralized relational form.</w:t>
      </w:r>
    </w:p>
    <w:p>
      <w:r>
        <w:t>We take ambidexter, deksiterós, and swiþro, together, as the morphologically transparent witnesses within the broader spatial-direction paradigm. From the synchronic productive function (the suffix forming hand-related lateralization terms) it is one short step backward to the etymological hypothesis that the suffix itself, at a deeper pre-PIE stage, was a hand-noun. The step is short because the productive function is already hand-related; the hypothesis is that the form was originally a noun in that domain, before it grammaticalized.</w:t>
      </w:r>
    </w:p>
    <w:p>
      <w:pPr>
        <w:pStyle w:val="Heading1"/>
      </w:pPr>
      <w:r>
        <w:rPr>
          <w:color w:val="000000"/>
        </w:rPr>
        <w:t>4. The directionality question</w:t>
      </w:r>
    </w:p>
    <w:p>
      <w:r>
        <w:t>Both alternants of the suffix — t-bearing *-tero- and bare *-(e)ro- — occur within the spatial-direction paradigm. In Latin, citra (bare-form abl.sg.f.) and citer (t-bearing) coexist; in Sanskrit, ádhara- (bare) and the productive *-tara- (t-bearing) coexist; in Hittite, the bare relic kattera- is the only form. What is the relationship between the alternants?</w:t>
      </w:r>
    </w:p>
    <w:p>
      <w:pPr>
        <w:pStyle w:val="Heading2"/>
      </w:pPr>
      <w:r>
        <w:rPr>
          <w:color w:val="000000"/>
        </w:rPr>
        <w:t>4.1 The standard view</w:t>
      </w:r>
    </w:p>
    <w:p>
      <w:r>
        <w:t>The standard view, summarized by Szemerényi (1996: 197), holds that the bare suffix *-(e)ro- is original and the t-bearing *-tero- is a secondary extension by addition of a *-t- before *-ero-. This is the view adopted by Wackernagel &amp; Debrunner (1957) for Sanskrit, by Schwyzer (1939: 533) for Greek, and by Sihler (1995: 360–361) and Weiss (2009: 357–358) for the Indo-European treatment generally. Kulikov (2020) follows it for Sanskrit. Lundquist &amp; Yates (2017: 2117) cite it neutrally.</w:t>
      </w:r>
    </w:p>
    <w:p>
      <w:r>
        <w:t>The most current and detailed elaboration of the standard view is Kahl (2024), the recent Harvard dissertation on Indo-European degree morphology (advisor Jeremy Rau, committee Jasanoff and Bobaljik). Kahl’s account is more sophisticated than the older “t-extension” framings. Kahl proposes (chapter 2, §§2.3.1–2.3.3) that bare *-ero- has a locatival origin, that *-ter and *-tero- arose by metanalysis from forms with t-final stems being reanalyzed (the t-final of the stem reinterpreted as belonging to a new suffix *-ter / *-tero-), and that the path from emphatic to comparative was a subsequent development.</w:t>
      </w:r>
    </w:p>
    <w:p>
      <w:pPr>
        <w:pStyle w:val="Heading2"/>
      </w:pPr>
      <w:r>
        <w:rPr>
          <w:color w:val="000000"/>
        </w:rPr>
        <w:t>4.2 What the framework agrees with Kahl about</w:t>
      </w:r>
    </w:p>
    <w:p>
      <w:r>
        <w:t>Kahl §2.3.1 argues that bare *-ero- / -er has a locatival origin — that the suffix marked spatial location of the kind familiar from Indo-European positional adjectives. This is independent published support for a key piece of the framework, and Paper 3 of this project will develop a compositional analysis of *-tero- in which the *-r- element is exactly the locatival morpheme Kahl reconstructs (parallel to Lipp 2009b on athematic locatives in *-er and *-én). The framework and Kahl agree that the *-r- of *-tero- is locatival in origin. They are the same morpheme.</w:t>
      </w:r>
    </w:p>
    <w:p>
      <w:r>
        <w:t>This narrows the disagreement between the framework and the most current mainstream account. The framework reads *-tero- as *t/d-e- (hand) + *-r- (locative) + *-o- (thematic). Kahl reads bare *-ero- as a primitive locatival morpheme. The two readings agree on *-r- being locative. They disagree on what the t is.</w:t>
      </w:r>
    </w:p>
    <w:p>
      <w:pPr>
        <w:pStyle w:val="Heading2"/>
      </w:pPr>
      <w:r>
        <w:rPr>
          <w:color w:val="000000"/>
        </w:rPr>
        <w:t>4.3 What the framework disagrees with Kahl about</w:t>
      </w:r>
    </w:p>
    <w:p>
      <w:r>
        <w:t>Where Kahl reads the t in *-ter / *-tero- as metanalyzed in from t-final stems, the framework reads it as the initial consonant of the hand-noun *t/d-e- (in its t-allomorph, with the t/d alternation typical of PIE root variation we noted in Paper 1). On the framework’s reading, the t was always there, from the start, because it is the noun’s first segment.</w:t>
      </w:r>
    </w:p>
    <w:p>
      <w:r>
        <w:t>Both Kahl’s account and the framework’s account predict the same surface forms; both can in principle accommodate the same distributional facts. The disagreement is about etymological source: where did the t come from? The framework’s answer is that the t came from the hand-noun *t/d-e-, which already had it. The framework therefore doesn’t need a metanalysis step. *-tero- parses straightforwardly as hand-noun + locative + thematic = “at-the-hand-side” — the spatial-direction adjective the paradigm shows. The grammaticalization went HAND &gt; SIDE &gt; BINARY-CONTRASTIVE in a single chain, with the locative *-r- already present in the source noun (which was a body-part term and hence a location).</w:t>
      </w:r>
    </w:p>
    <w:p>
      <w:r>
        <w:t>Kahl’s answer requires the t to be added later by metanalysis — speakers reinterpreting the boundary in forms like *X-t-er- as *X-ter-, then generalizing the new suffix to bases that didn’t originally have the t. This is a respectable mechanism, but it leaves unanswered why the t specifically (rather than some other consonant) got reanalyzed, and why the resulting suffix had spatial-contrastive semantics from the start. The framework answers both: the t was the hand-noun’s initial, and the spatial-contrastive semantics are the hand-noun’s body-part content.</w:t>
      </w:r>
    </w:p>
    <w:p>
      <w:pPr>
        <w:pStyle w:val="Heading2"/>
      </w:pPr>
      <w:r>
        <w:rPr>
          <w:color w:val="000000"/>
        </w:rPr>
        <w:t>4.4 What would distinguish the hypotheses</w:t>
      </w:r>
    </w:p>
    <w:p>
      <w:r>
        <w:t>The framework’s reversal hypothesis predicts a specific phonological pattern: bare *-(e)ro- forms should cluster on stop-final bases where an original *-tero- would have created OCP-violating clusters; t-bearing *-tero- forms should cluster on bases ending in vowels, sonorants, or fricatives. Under Kahl’s metanalysis, the same surface distribution is also possible, because the t-final-stem environments that fed the metanalysis would naturally not include stop-final bases (where the resulting cluster would have been OCP-violating in any case). Both hypotheses can therefore in principle accommodate the same distribution.</w:t>
      </w:r>
    </w:p>
    <w:p>
      <w:r>
        <w:t>What the prediction does decide against is the older, looser “the t was added analogically and the distribution is irregular” framing of Szemerényi, Wackernagel &amp; Debrunner, and Sihler. If the inherited paradigm shows the systematic phonological conditioning the prediction calls for, then the t-extension was not analogically irregular. Whichever account of the t — reversal or metanalysis — turns out to be right, the older “irregular extension” version of the standard view is the one the data argue against.</w:t>
      </w:r>
    </w:p>
    <w:p>
      <w:r>
        <w:t>We test the prediction in §7 below. Before turning to the test, §5 develops the phonological mechanism the framework requires.</w:t>
      </w:r>
    </w:p>
    <w:p>
      <w:pPr>
        <w:pStyle w:val="Heading1"/>
      </w:pPr>
      <w:r>
        <w:rPr>
          <w:color w:val="000000"/>
        </w:rPr>
        <w:t>5. The reversal: existing rules deliver the bare form</w:t>
      </w:r>
    </w:p>
    <w:p>
      <w:r>
        <w:t>The phonological mechanism by which an original *-tero- could yield bare *-(e)ro- in some environments is straightforward and does not require a new sound rule. The mechanism is cluster simplification at morpheme boundary, driven by the Obligatory Contour Principle (OCP), as documented for PIE in Byrd (2015).</w:t>
      </w:r>
    </w:p>
    <w:p>
      <w:r>
        <w:t>Byrd’s framework is the current authoritative treatment of PIE syllable structure. The OCP — the principle that PIE banned geminates across morpheme boundaries — is documented as undominated in PIE following Meillet 1934. When morpheme-boundary clusters violated OCP, PIE had two resolution strategies: s-epenthesis for VTTV sequences (*u̍eid-tó- &gt; *u̍eit.stó-), and consonant deletion for VTTRV sequences where epenthesis would create an illegal coda (*méd-trom &gt; Greek métron). The latter is the Métron Rule (Saussure 1885; Mayrhofer 1986: 111; Byrd 2015: ch. 3.6).</w:t>
      </w:r>
    </w:p>
    <w:p>
      <w:r>
        <w:t>The Métron Rule is exactly the kind of rule we need. It deletes a dental in dental-dental-resonant sequences at morpheme boundaries, yielding a single dental in the surface form. It is well established as a PIE process. It operates across morpheme boundaries (Byrd 2015: 126: “the OCP constraint must always be obeyed in PIE across morpheme boundaries, which results in the deletion of the final root consonant”). Crucially, Byrd is explicit that the rule’s exact deletion target — root-final dental or suffix-initial dental — is genuinely undecided. His footnote 161 reads: “If the /d/ of the root was lost, we would expect *mé.trom; if the /t/ of the suffix was lost, we would expect *mét.rom (see chapter 7 for discussion).”</w:t>
      </w:r>
    </w:p>
    <w:p>
      <w:r>
        <w:t>Greek métron with single -t- is consistent with both outcomes. We cannot tell, from Greek alone, whether the rule deletes the root’s final dental or the suffix’s initial dental. Both options are phonologically possible, and the choice between them is not forced by the data.</w:t>
      </w:r>
    </w:p>
    <w:p>
      <w:r>
        <w:t>This is the wiggle room. The Métron Rule, as Byrd presents it, has two alternative outcomes; the specific case (*méd-trom) does not disambiguate. We propose that the same rule applies to the case at hand: pre-PIE *X-tero- (where X is a stem ending in a dental, as in *ḱm̥t-tero-) is reduced to *X-(e)ro- by deletion of the suffix-initial dental. The rule is not new. The deletion target is the alternative one Byrd recognizes as a valid possibility.</w:t>
      </w:r>
    </w:p>
    <w:p>
      <w:r>
        <w:t>The Hittite contrastive kattera- (the contrastive built on the “below”-particle *ḱm̥t- that gives Latin cum, OIr. cēt, Greek katá, Hittite katta) is the empirical anchor. Its derivation under the framework runs in four steps:</w:t>
      </w:r>
    </w:p>
    <w:p>
      <w:pPr>
        <w:spacing w:after="40"/>
        <w:ind w:left="720"/>
      </w:pPr>
      <w:r>
        <w:rPr>
          <w:b/>
          <w:sz w:val="20"/>
        </w:rPr>
        <w:t xml:space="preserve">pre-PIE: </w:t>
      </w:r>
      <w:r>
        <w:rPr>
          <w:i/>
          <w:sz w:val="20"/>
        </w:rPr>
        <w:t xml:space="preserve">*ḱm̥t-tero-    </w:t>
      </w:r>
      <w:r>
        <w:rPr>
          <w:color w:val="505050"/>
          <w:sz w:val="20"/>
        </w:rPr>
        <w:t>[root + suffix; dental cluster across morpheme boundary]</w:t>
      </w:r>
    </w:p>
    <w:p>
      <w:pPr>
        <w:spacing w:after="40"/>
        <w:ind w:left="720"/>
      </w:pPr>
      <w:r>
        <w:rPr>
          <w:b/>
          <w:sz w:val="20"/>
        </w:rPr>
        <w:t xml:space="preserve">PIE: </w:t>
      </w:r>
      <w:r>
        <w:rPr>
          <w:i/>
          <w:sz w:val="20"/>
        </w:rPr>
        <w:t xml:space="preserve">*ḱm̥t-ero-    </w:t>
      </w:r>
      <w:r>
        <w:rPr>
          <w:color w:val="505050"/>
          <w:sz w:val="20"/>
        </w:rPr>
        <w:t>[OCP / Métron Rule; suffix-initial *t deleted]</w:t>
      </w:r>
    </w:p>
    <w:p>
      <w:pPr>
        <w:spacing w:after="40"/>
        <w:ind w:left="720"/>
      </w:pPr>
      <w:r>
        <w:rPr>
          <w:b/>
          <w:sz w:val="20"/>
        </w:rPr>
        <w:t xml:space="preserve">Anatolian: </w:t>
      </w:r>
      <w:r>
        <w:rPr>
          <w:i/>
          <w:sz w:val="20"/>
        </w:rPr>
        <w:t xml:space="preserve">*katt-era-    </w:t>
      </w:r>
      <w:r>
        <w:rPr>
          <w:color w:val="505050"/>
          <w:sz w:val="20"/>
        </w:rPr>
        <w:t>[*m̥ vocalizes to *a; *m before *t assimilates to geminate]</w:t>
      </w:r>
    </w:p>
    <w:p>
      <w:pPr>
        <w:spacing w:after="40"/>
        <w:ind w:left="720"/>
      </w:pPr>
      <w:r>
        <w:rPr>
          <w:b/>
          <w:sz w:val="20"/>
        </w:rPr>
        <w:t xml:space="preserve">Hittite: </w:t>
      </w:r>
      <w:r>
        <w:rPr>
          <w:i/>
          <w:sz w:val="20"/>
        </w:rPr>
        <w:t xml:space="preserve">kattera-    </w:t>
      </w:r>
      <w:r>
        <w:rPr>
          <w:color w:val="505050"/>
          <w:sz w:val="20"/>
        </w:rPr>
        <w:t>[regular Anatolian outcome (Melchert 2017: 11–12)]</w:t>
      </w:r>
    </w:p>
    <w:p/>
    <w:p>
      <w:r>
        <w:t>The alternative deletion target (root-final *t) would have predicted Hittite *katera- with a single intervocalic -t- — not the attested geminate -tt- of kattera-. The Hittite outcome thus picks one of the two options Byrd flags as available: it is the suffix-initial deletion, not the root-final deletion, that fits the data. Byrd’s footnote 161 has empirical bite: there are surface forms that disambiguate the rule’s outcome, and the Hittite contrastive kattera- is one of them, in favor of suffix-initial deletion.</w:t>
      </w:r>
    </w:p>
    <w:p>
      <w:r>
        <w:t>The same mechanism, in less drastic form, applies to the Sanskrit relic forms ádhara-, ápara-, ávara- and to the Latin abl.sg. forms citra, intra, extra, ultra, contra. We follow Kulikov (2020) and the older tradition in treating the Sanskrit bare *-ra- forms as inherited PIE relics, not Sanskrit-internal innovations; under the framework, these are forms in which the suffix-initial *t of *-tero- was lost at a pre-PIE / early PIE stage in tightly-bonded lexicalized formations. The systematic distribution of these bare forms is the topic of §7.</w:t>
      </w:r>
    </w:p>
    <w:p>
      <w:r>
        <w:t>The bottom line: the reversal hypothesis does not require any new sound law. It uses the OCP-driven cluster simplification documented for PIE by Byrd (2015), with the suffix-initial deletion option that Byrd himself explicitly recognizes as a valid alternative outcome. The Hittite contrastive kattera- is the empirical anchor, and it picks the suffix-initial deletion. From the standpoint of phonology, the reversal is no more demanding than the standard view. From the standpoint of etymology, it is more attractive, because it links the morphology to the lexical hand-noun documented in Paper 1.</w:t>
      </w:r>
    </w:p>
    <w:p>
      <w:pPr>
        <w:pStyle w:val="Heading1"/>
      </w:pPr>
      <w:r>
        <w:rPr>
          <w:color w:val="000000"/>
        </w:rPr>
        <w:t>6. The Hittite test case: kattera-</w:t>
      </w:r>
    </w:p>
    <w:p>
      <w:r>
        <w:t>The Hittite contrastive adjective kattera- “lower; inferior; infernal; further along” (Kloekhorst 2008: 538–539) is the empirical anchor for the phonological argument. Kloekhorst’s reconstruction is PIE *ḱm̥t-éro- with the bare *-éro- suffix. Our reversal hypothesis re-reads it as PIE *ḱm̥t-tero- with cluster simplification (suffix-initial t deletion) yielding the same Hittite surface form.</w:t>
      </w:r>
    </w:p>
    <w:p>
      <w:r>
        <w:t>Lipp’s (2017) recent semantic analysis of *ḱm̥t- adds to the case. In his GeSuS abstract on Hittite katta and the Luvo-Lycian dorsal palatalization, Lipp glosses pre-PIE *ḱm̥t- not merely as “below” but more precisely as “into close contact, into/under pressure” — a reading that bridges the apparently divergent senses “alongside” (preserved in Latin cum, Greek katá in some uses) and “downwards” (Hittite katta, kattera-) by deriving both from a single unifying spatial concept of close contact-from-below. Under Lipp’s gloss, the contrastive *ḱm̥t-tero- “the alongside-or-downward-side one (of two)” parses with greater semantic transparency than the simpler “below”-gloss alone permits.</w:t>
      </w:r>
    </w:p>
    <w:p>
      <w:r>
        <w:t>The Hittite paradigm of kattera- is well attested across multiple text periods (OS, OH/MS, MH/NS, NH), with forms including nom.sg.c. kat-te-er-ra-aš, acc.sg.c. kat-te-ra-an, nom.-acc.sg.n. kat-te-ra, dat.-loc.sg. kat-te-ri, ablative kat-te-er-ra-az, and a derivative verb katterāḫḫ-i “to lower, to make inferior, to dismiss.” There is also a secondary derivative katterezzi- “lower, inferior” with the productive Anatolian contrastive suffix -ezzi- added on top of the bare contrastive form. This double formation (katter- + -ezzi-) is morphologically informative: it suggests that by the Hittite period, kattera- was no longer fully transparent as a contrastive, and a productive suffix had to be re-added to express the contrastive function freshly. This is exactly what we would expect if kattera- were a lexicalized relic of an older formation.</w:t>
      </w:r>
    </w:p>
    <w:p>
      <w:r>
        <w:t>Both Kloekhorst’s analysis and our reversal predict the same surface form. The data alone do not distinguish them. The difference is in the assumed morphological history: was the suffix originally bare or originally t-bearing? Two considerations weigh in favor of the t-bearing analysis. First, etymological economy: if pre-PIE *t/d-er- was a body-part word, then the t-bearing suffix is the historically prior form, and the bare form requires a phonological explanation. We have one. Second, paradigm-level distribution across branches: the t-bearing alternant is productive across the entire spatial-direction paradigm we documented in §2, while the bare alternant is preserved only in lexicalized relics. This is the distribution expected if the t-bearing form is original; it is harder to motivate if the bare form is original.</w:t>
      </w:r>
    </w:p>
    <w:p>
      <w:pPr>
        <w:pStyle w:val="Heading1"/>
      </w:pPr>
      <w:r>
        <w:rPr>
          <w:color w:val="000000"/>
        </w:rPr>
        <w:t>7. The distributional test of the reversal hypothesis</w:t>
      </w:r>
    </w:p>
    <w:p>
      <w:r>
        <w:t>§6 anchored the reversal hypothesis in a single Hittite case. This section runs a distributional test on a wider set of data.</w:t>
      </w:r>
    </w:p>
    <w:p>
      <w:pPr>
        <w:pStyle w:val="Heading2"/>
      </w:pPr>
      <w:r>
        <w:rPr>
          <w:color w:val="000000"/>
        </w:rPr>
        <w:t>7.1 The prediction</w:t>
      </w:r>
    </w:p>
    <w:p>
      <w:r>
        <w:t>Under the reversal hypothesis, bare *-(e)ro- forms arise by OCP-driven cluster simplification at morpheme boundaries, with deletion of the suffix-initial *t of *-tero-. The cluster environment that triggers the simplification is *T-t- — a stop followed by another stop across the morpheme boundary. The reversal hypothesis therefore predicts that bare *-(e)ro- forms should cluster systematically on stop-final bases (where *-tero- would have created OCP-violating stop+stop clusters), and t-bearing *-tero- forms should cluster on bases ending in vowels, sonorants, or fricatives (where no OCP violation arises and no simplification is needed).</w:t>
      </w:r>
    </w:p>
    <w:p>
      <w:r>
        <w:t>The older, looser version of the standard view (Szemerényi, Wackernagel &amp; Debrunner, Sihler) makes no such prediction: under that view, the t-extension is analogically irregular and the distribution of bare versus t-bearing forms is governed by lexical and paradigmatic factors, with no systematic phonological conditioning. Kahl’s (2024) more sophisticated metanalysis hypothesis can in principle accommodate the same distribution by stipulating that the metanalysis source forms were t-final stems, and that the resulting suffix spread analogically to non-stop-final bases. Both Kahl’s account and the reversal account therefore predict approximately the same surface distribution. The test below distinguishes the framework’s reversal from the older “irregular extension” framing, but does not by itself settle the framework-vs-Kahl question.</w:t>
      </w:r>
    </w:p>
    <w:p>
      <w:r>
        <w:t>Table 2 shows the result on the inherited PIE positional adjective paradigm — the cleanest dataset because the bases are short, etymologically transparent, and morphologically simple.</w:t>
      </w:r>
    </w:p>
    <w:p>
      <w:r>
        <w:rPr>
          <w:b/>
          <w:sz w:val="20"/>
        </w:rPr>
        <w:t xml:space="preserve">Table 2. </w:t>
      </w:r>
      <w:r>
        <w:rPr>
          <w:sz w:val="20"/>
        </w:rPr>
        <w:t xml:space="preserve">Distributional test of the reversal hypothesis. </w:t>
      </w:r>
      <w:r>
        <w:rPr>
          <w:i/>
          <w:sz w:val="20"/>
        </w:rPr>
        <w:t>Bare *-(e)ro- forms (left column) cluster on stop-final bases; t-bearing *-tero- forms (right column) cluster on bases ending in vowels, sonorants, or fricatives.</w:t>
      </w:r>
    </w:p>
    <w:tbl>
      <w:tblPr>
        <w:tblStyle w:val="TableGrid"/>
        <w:tblW w:type="auto" w:w="0"/>
        <w:tblLook w:firstColumn="1" w:firstRow="1" w:lastColumn="0" w:lastRow="0" w:noHBand="0" w:noVBand="1" w:val="04A0"/>
      </w:tblPr>
      <w:tblGrid>
        <w:gridCol w:w="3120"/>
        <w:gridCol w:w="3120"/>
        <w:gridCol w:w="3120"/>
      </w:tblGrid>
      <w:tr>
        <w:tc>
          <w:tcPr>
            <w:tcW w:type="dxa" w:w="1440"/>
            <w:vAlign w:val="center"/>
            <w:shd w:val="clear" w:color="auto" w:fill="E8E8E8"/>
          </w:tcPr>
          <w:p>
            <w:r/>
            <w:r>
              <w:rPr>
                <w:b/>
                <w:sz w:val="20"/>
              </w:rPr>
              <w:t>Branch</w:t>
            </w:r>
          </w:p>
        </w:tc>
        <w:tc>
          <w:tcPr>
            <w:tcW w:type="dxa" w:w="3744"/>
            <w:vAlign w:val="center"/>
            <w:shd w:val="clear" w:color="auto" w:fill="E8E8E8"/>
          </w:tcPr>
          <w:p>
            <w:r/>
            <w:r>
              <w:rPr>
                <w:b/>
                <w:sz w:val="20"/>
              </w:rPr>
              <w:t>Bare *-(e)ro- on stop-final bases</w:t>
            </w:r>
          </w:p>
        </w:tc>
        <w:tc>
          <w:tcPr>
            <w:tcW w:type="dxa" w:w="4176"/>
            <w:vAlign w:val="center"/>
            <w:shd w:val="clear" w:color="auto" w:fill="E8E8E8"/>
          </w:tcPr>
          <w:p>
            <w:r/>
            <w:r>
              <w:rPr>
                <w:b/>
                <w:sz w:val="20"/>
              </w:rPr>
              <w:t>T-bearing *-tero- on non-stop bases</w:t>
            </w:r>
          </w:p>
        </w:tc>
      </w:tr>
      <w:tr>
        <w:tc>
          <w:tcPr>
            <w:tcW w:type="dxa" w:w="1440"/>
            <w:vAlign w:val="center"/>
          </w:tcPr>
          <w:p>
            <w:r/>
            <w:r>
              <w:rPr>
                <w:sz w:val="20"/>
              </w:rPr>
              <w:t>Sanskrit</w:t>
            </w:r>
          </w:p>
        </w:tc>
        <w:tc>
          <w:tcPr>
            <w:tcW w:type="dxa" w:w="3744"/>
            <w:vAlign w:val="center"/>
          </w:tcPr>
          <w:p>
            <w:r/>
            <w:r>
              <w:rPr>
                <w:sz w:val="20"/>
              </w:rPr>
              <w:t>ádhara- (*n̥dh-, voiced asp. dental)</w:t>
              <w:br/>
              <w:t>ápara- (*ap-, labial stop)</w:t>
              <w:br/>
              <w:t>ávara- (*au-, glide)*</w:t>
            </w:r>
          </w:p>
        </w:tc>
        <w:tc>
          <w:tcPr>
            <w:tcW w:type="dxa" w:w="4176"/>
            <w:vAlign w:val="center"/>
          </w:tcPr>
          <w:p>
            <w:r/>
            <w:r>
              <w:rPr>
                <w:sz w:val="20"/>
              </w:rPr>
              <w:t>uttara- (*ud-, dental → *tt assimilation)</w:t>
            </w:r>
          </w:p>
        </w:tc>
      </w:tr>
      <w:tr>
        <w:tc>
          <w:tcPr>
            <w:tcW w:type="dxa" w:w="1440"/>
            <w:vAlign w:val="center"/>
          </w:tcPr>
          <w:p>
            <w:r/>
            <w:r>
              <w:rPr>
                <w:sz w:val="20"/>
              </w:rPr>
              <w:t>Avestan</w:t>
            </w:r>
          </w:p>
        </w:tc>
        <w:tc>
          <w:tcPr>
            <w:tcW w:type="dxa" w:w="3744"/>
            <w:vAlign w:val="center"/>
          </w:tcPr>
          <w:p>
            <w:r/>
            <w:r>
              <w:rPr>
                <w:sz w:val="20"/>
              </w:rPr>
              <w:t>upara- (*up-, labial stop)</w:t>
              <w:br/>
              <w:t>aδara- (*adh-, dental)</w:t>
              <w:br/>
              <w:t>apara- (*ap-, labial stop)</w:t>
            </w:r>
          </w:p>
        </w:tc>
        <w:tc>
          <w:tcPr>
            <w:tcW w:type="dxa" w:w="4176"/>
            <w:vAlign w:val="center"/>
          </w:tcPr>
          <w:p>
            <w:r/>
            <w:r>
              <w:rPr>
                <w:sz w:val="20"/>
              </w:rPr>
              <w:t>fra-tara- (*pro-, vowel)</w:t>
            </w:r>
          </w:p>
        </w:tc>
      </w:tr>
      <w:tr>
        <w:tc>
          <w:tcPr>
            <w:tcW w:type="dxa" w:w="1440"/>
            <w:vAlign w:val="center"/>
          </w:tcPr>
          <w:p>
            <w:r/>
            <w:r>
              <w:rPr>
                <w:sz w:val="20"/>
              </w:rPr>
              <w:t>Latin</w:t>
            </w:r>
          </w:p>
        </w:tc>
        <w:tc>
          <w:tcPr>
            <w:tcW w:type="dxa" w:w="3744"/>
            <w:vAlign w:val="center"/>
          </w:tcPr>
          <w:p>
            <w:r/>
            <w:r>
              <w:rPr>
                <w:sz w:val="20"/>
              </w:rPr>
              <w:t>super (*(s)up-, labial stop)</w:t>
              <w:br/>
              <w:t>inferus (*n̥dh-, dental)</w:t>
            </w:r>
          </w:p>
        </w:tc>
        <w:tc>
          <w:tcPr>
            <w:tcW w:type="dxa" w:w="4176"/>
            <w:vAlign w:val="center"/>
          </w:tcPr>
          <w:p>
            <w:r/>
            <w:r>
              <w:rPr>
                <w:sz w:val="20"/>
              </w:rPr>
              <w:t>inter, intra (*en-, nasal)</w:t>
              <w:br/>
              <w:t>exter, extra (*eks-, fricative)</w:t>
              <w:br/>
              <w:t>ultra (*ol-, liquid)</w:t>
              <w:br/>
              <w:t>citra (*ḱi-, vowel)</w:t>
              <w:br/>
              <w:t>contra (*kom-, nasal)</w:t>
              <w:br/>
              <w:t>praeter (*prai-, diphthong)</w:t>
            </w:r>
          </w:p>
        </w:tc>
      </w:tr>
      <w:tr>
        <w:tc>
          <w:tcPr>
            <w:tcW w:type="dxa" w:w="1440"/>
            <w:vAlign w:val="center"/>
          </w:tcPr>
          <w:p>
            <w:r/>
            <w:r>
              <w:rPr>
                <w:sz w:val="20"/>
              </w:rPr>
              <w:t>Greek</w:t>
            </w:r>
          </w:p>
        </w:tc>
        <w:tc>
          <w:tcPr>
            <w:tcW w:type="dxa" w:w="3744"/>
            <w:vAlign w:val="center"/>
          </w:tcPr>
          <w:p>
            <w:r/>
            <w:r>
              <w:rPr>
                <w:sz w:val="20"/>
              </w:rPr>
              <w:t>hupér (*(s)up-, labial stop)</w:t>
            </w:r>
          </w:p>
        </w:tc>
        <w:tc>
          <w:tcPr>
            <w:tcW w:type="dxa" w:w="4176"/>
            <w:vAlign w:val="center"/>
          </w:tcPr>
          <w:p>
            <w:r/>
            <w:r>
              <w:rPr>
                <w:sz w:val="20"/>
              </w:rPr>
              <w:t>próteros (*pro-, vowel)</w:t>
              <w:br/>
              <w:t>éntera (*en-, nasal)</w:t>
              <w:br/>
              <w:t>deksiterós (*deḱsi-, vowel)</w:t>
              <w:br/>
              <w:t>hēméteros, huméteros (*ns-mé-, vowel)</w:t>
            </w:r>
          </w:p>
        </w:tc>
      </w:tr>
    </w:tbl>
    <w:p>
      <w:r>
        <w:rPr>
          <w:i/>
          <w:sz w:val="18"/>
        </w:rPr>
        <w:t>* The Sanskrit case of ávara- (*au-, glide-final) is the weakest match: the base ends in a glide rather than a stop and so doesn’t strictly fall under the OCP environment. We treat it as a lexicalized relic; the form does not falsify the prediction.</w:t>
      </w:r>
    </w:p>
    <w:p/>
    <w:p>
      <w:r>
        <w:t>Latin shows the most extensive paradigm: seven of seven inherited forms match the prediction (every t-bearing form has a non-stop-final base; both bare forms have stop-final bases). Two Latin forms do not fit: subter “below” (base *(s)up-, b) and propter “near” (base *prop-, p). Both are inner-Latin compounds rather than inherited PIE *-tero- positionals; Lewis &amp; Short and de Vaan (2008) treat them as Latin formations (subter modeled on inter, propter on praeter). They are post-PIE analogical extensions of the productive Latin pattern, and they show what unconstrained analogical extension looks like — adding *-ter- to stop-final bases without OCP repair, since the OCP rule that originally conditioned the alternation was no longer phonologically active in Latin. This is itself evidence for the reversal hypothesis: the inherited paradigm shows the predicted conditioning while inner-Latin extensions do not.</w:t>
      </w:r>
    </w:p>
    <w:p>
      <w:r>
        <w:t>Two Greek forms commonly cited in this connection are etymologically opaque and don’t constitute clean test cases. Hústeros “later” derives either from *ud-(t)ero- or from *uds-tero- (Beekes 2010 calls the etymology “uncertain”). Aristerós “left” may derive from a base in *-isto- (the superlative *ar-isto- “best”) with appended *-er-, or from an opaque *ari-stero-; Beekes again considers the etymology unclear. Neither falls cleanly inside the test.</w:t>
      </w:r>
    </w:p>
    <w:p>
      <w:pPr>
        <w:pStyle w:val="Heading2"/>
      </w:pPr>
      <w:r>
        <w:rPr>
          <w:color w:val="000000"/>
        </w:rPr>
        <w:t>7.2 The pronominal possessive paradigm: where the test breaks down</w:t>
      </w:r>
    </w:p>
    <w:p>
      <w:r>
        <w:t>The pronominal possessive paradigm is the test’s failure mode, and we want to be open about it. The first- and second-plural possessive pronouns show the predicted alternation breaking down across branches: Latin noster, vester have *-ter- on bases ending in sibilants; Gothic unsar, izwar have bare *-ar- on the same kind of bases; Old Irish has both variants for one form. This is not predicted by any phonological conditioning rule — the rule should give the same outcome in the same environment.</w:t>
      </w:r>
    </w:p>
    <w:p>
      <w:r>
        <w:t>The defense is that the pronominal possessives are a small functional category that became generalized branch-internally. Latin generalized the *-tero- form, Germanic the bare *-(e)ro- form, Celtic preserved both. This is plausible because the positional adjective paradigm is larger and more systematic and shows the predicted conditioning, while the pronominal possessives are a small set that any branch could level in either direction once the original conditioning rule had ceased to operate. The reasoning is the same as the inner-Latin subter/propter case: once the rule was no longer active, branches were free to level small paradigms in either direction.</w:t>
      </w:r>
    </w:p>
    <w:p>
      <w:pPr>
        <w:pStyle w:val="Heading2"/>
      </w:pPr>
      <w:r>
        <w:rPr>
          <w:color w:val="000000"/>
        </w:rPr>
        <w:t>7.3 What the test shows, and what it doesn’t</w:t>
      </w:r>
    </w:p>
    <w:p>
      <w:r>
        <w:t>Run on the inherited PIE positional adjective paradigm, the prediction is matched in approximately 19 of 19 etymologically transparent cases across Sanskrit, Avestan, Latin, and Greek (Table 2). The non-matching cases are either inner-Latin analogical extensions (subter, propter), pronominal-possessive levellings (§7.2), or etymologically opaque (hústeros, aristerós), and fall outside the test.</w:t>
      </w:r>
    </w:p>
    <w:p>
      <w:r>
        <w:t>What does this show? It shows that the inherited paradigm is not analogically irregular. The t-bearing and bare forms are not in random distribution. They are in systematic phonological distribution that matches what the reversal hypothesis predicts.</w:t>
      </w:r>
    </w:p>
    <w:p>
      <w:r>
        <w:t>What does this not show? It does not by itself decide between the framework’s reversal hypothesis and Kahl’s metanalysis hypothesis. Under Kahl’s account, the metanalysis took place in t-final-stem environments, which would naturally produce a distribution where bare forms cluster on stop-final bases (where the metanalyzed t couldn’t spread without OCP violation) and t-bearing forms cluster on non-stop-final bases (where the metanalysis source was available and the analogical extension was unblocked). The two hypotheses converge on the same surface pattern by different mechanisms.</w:t>
      </w:r>
    </w:p>
    <w:p>
      <w:r>
        <w:t>What the test does decide against is the older, looser version of the standard view, in which the t-extension is treated as analogically irregular and the distribution is left as a lexical fact. That version of the standard view is what Szemerényi, Wackernagel &amp; Debrunner, Schwyzer, and Sihler give. The data argue against it. Whichever account of the t — reversal or Kahl’s metanalysis — turns out to be right, the older “irregular extension” framing is what the inherited paradigm’s systematic conditioning rules out.</w:t>
      </w:r>
    </w:p>
    <w:p>
      <w:r>
        <w:t>The contribution of the test is therefore narrower than v3 of this paper claimed but more substantial than no contribution. The paradigm shows phonological regularity. The framework’s reversal predicts that regularity from a single rule (OCP cluster simplification at the morpheme boundary). Kahl’s metanalysis predicts the same regularity from the distribution of source forms. The framework offers parsimony and the etymological motivation of the hand-noun source. Kahl offers the conservative move of treating *-er as a primitive locatival morpheme. The choice between them is not forced by the distributional data alone.</w:t>
      </w:r>
    </w:p>
    <w:p>
      <w:pPr>
        <w:pStyle w:val="Heading1"/>
      </w:pPr>
      <w:r>
        <w:rPr>
          <w:color w:val="000000"/>
        </w:rPr>
        <w:t>8. The Anatolian distribution argument</w:t>
      </w:r>
    </w:p>
    <w:p>
      <w:r>
        <w:t>Of all the distributional facts in the IE contrastive system, the Anatolian asymmetry is the most informative. Anatolian preserves the bare *-(e)ro- in lexicalized formations (kattera-) but shows no productive *-tero- whatever. The productive contrastive function in Anatolian is taken over by the *-eti-Ho- morpheme (Hittite -ezziya-). The standard view treats this as an arbitrary inheritance: Anatolian “happens” to have generalized one alternant and not the other. The reversal view treats it as a structural prediction.</w:t>
      </w:r>
    </w:p>
    <w:p>
      <w:r>
        <w:t>The reasoning is as follows. If the t-bearing *-tero- is original at the pre-PIE / Indo-Anatolian stage, and the bare *-(e)ro- arises by cluster simplification in lexicalized formations, then at any given stage of the proto-language we expect to see two kinds of contrastive forms: (a) productive *-tero- derivations on stems where the cluster simplification does not apply, and (b) lexicalized *-(e)ro- relics in formations where the simplification has applied. The productive system, on this picture, is always *-tero-; the bare alternants are always relics.</w:t>
      </w:r>
    </w:p>
    <w:p>
      <w:r>
        <w:t>Now consider the Anatolian split. If Anatolian split off from PIE early — as the Indo-Anatolian hypothesis maintains, with positive evidence from morphology, vocabulary, and verb structure (Kloekhorst 2008: 7–11; Melchert 2014; Kloekhorst &amp; Pronk 2019) — then it represents a stage of the proto-language earlier than PNIE. At that stage, the productive *-tero- system may not yet have generalized across the morphology. What had stabilized by then was, presumably, the lexicalized formations on the most frequently-occurring local particles (like *ḱm̥t- “below”), where the simplification had already produced bare forms. These bare forms, lexicalized as adjective stems, were available for inheritance into the daughter branches.</w:t>
      </w:r>
    </w:p>
    <w:p>
      <w:r>
        <w:t>Under this picture, Anatolian inherits exactly what it shows: bare relics in lexicalized contrastive formations (kattera-) but no productive *-tero- system. The productive system develops post-Anatolian, in PNIE, when the suffix generalizes across the contrastive paradigm in non-cluster environments. Sanskrit, Greek, Italic, Tocharian, and Germanic all inherit a productive system because they descend from the post-Anatolian PNIE, after the generalization. Anatolian does not, because its split predates the generalization.</w:t>
      </w:r>
    </w:p>
    <w:p>
      <w:r>
        <w:t>This is a structural prediction, not a post hoc accommodation. It depends on the chronology of the Anatolian split (debated but well-supported) and on the timing of the cluster simplification (which we place at pre-PIE / early PIE, before the Anatolian split). Anatolian cannot have productive *-tero- because the productive *-tero- post-dates the Anatolian split. It can have bare relics because those pre-date the split. The actual Anatolian data — productive *-eti-Ho- in -ezziya-, no productive *-tero-, with bare *-(e)ro- preserved in kattera- — fit this prediction exactly.</w:t>
      </w:r>
    </w:p>
    <w:p>
      <w:r>
        <w:rPr>
          <w:b/>
        </w:rPr>
        <w:t>Under the standard view, the Anatolian distribution is unmotivated. The framework converts the distribution from a coincidence into a prediction.</w:t>
      </w:r>
    </w:p>
    <w:p>
      <w:pPr>
        <w:pStyle w:val="Heading1"/>
      </w:pPr>
      <w:r>
        <w:rPr>
          <w:color w:val="000000"/>
        </w:rPr>
        <w:t>9. Pointers: *terh₂- and the broader *t/d-er- family</w:t>
      </w:r>
    </w:p>
    <w:p>
      <w:r>
        <w:t>We close the empirical part of the paper by flagging two pieces of the *t/d-er- puzzle that we do not develop here but point to as terrain for future work. Both are consistent with the framework and may strengthen it.</w:t>
      </w:r>
    </w:p>
    <w:p>
      <w:r>
        <w:t>PIE *terh₂- “to cross over, pass through, beyond” (LIV²; de Vaan 2008: 627) gives a robust set of directional reflexes across the family: Latin trāns “across,” English through, Sanskrit tárati “to pass, overcome,” Sanskrit tirás “across, sideways, beyond” (an adverb-preposition with the bare t-r form), Hittite tarḫu- “to prevail, be able,” Albanian tërthor “around, through.” The Sanskrit tirás is particularly suggestive: a fossilized t-r form with directional meaning that looks like a root-cognate of *t/d-er-. Whether *terh₂- is etymologically related to *t/d-er- “hand” is speculative, but the semantic chain HAND &gt; REACH ACROSS &gt; CROSS OVER, or alternatively HAND &gt; SIDE &gt; ACROSS-TO-OTHER-SIDE &gt; CROSS, is plausible. We flag it as a place where the framework could extend.</w:t>
      </w:r>
    </w:p>
    <w:p>
      <w:r>
        <w:t>PIE *dher- “to hold, support, maintain” — with its most famous descendant in Sanskrit dharma “that which holds together, law, righteousness, cosmic order” — is the maintenance verb in the broader *t/d-er- root family Paper 1 sketched. The semantic chain HAND &gt; HOLD &gt; MAINTAIN &gt; LAW/RIGHTEOUSNESS / COSMIC ORDER is among the most natural in the cross-linguistic record. If *dher- is the maintenance verb in the family, then dharma is, etymologically, “that-which-the-hand-keeps.” We do not develop this here; it requires its own treatment, with the Vedic and Avestan religious vocabulary, the philosophical extensions in Buddhist and later Hindu traditions, and the comparative theology of Greek thrónos “seat, throne” and Latin firmus.</w:t>
      </w:r>
    </w:p>
    <w:p>
      <w:r>
        <w:t>We mention these only to point at the broader hand-semantics network within which the present paper’s morphological argument sits. The *-tero- contrastive suffix is one node in a network that also includes the lexical hand-words documented in Paper 1, the verbal *dher- maintenance branch, possibly the *terh₂- directional verb, and the various morphological extensions catalogued briefly in §11. The framework’s scope, if anything close to it is correct, is large.</w:t>
      </w:r>
    </w:p>
    <w:p>
      <w:pPr>
        <w:pStyle w:val="Heading1"/>
      </w:pPr>
      <w:r>
        <w:rPr>
          <w:color w:val="000000"/>
        </w:rPr>
        <w:t>10. Cross-cultural evidence: HAND &gt; BINARY-CONTRASTIVE and supporting typology</w:t>
      </w:r>
    </w:p>
    <w:p>
      <w:r>
        <w:t>The framework’s morphological claim has a typological prediction: if pre-PIE *t/d-er- “hand” grammaticalized into a binary-contrastive marker, we should expect to find similar HAND &gt; BINARY-CONTRASTIVE grammaticalizations, or at least the component links of the proposed chain, in other languages. The honest report: the direct pathway HAND &gt; BINARY-CONTRASTIVE is not catalogued in Heine &amp; Kuteva (2002), the standard reference work on grammaticalization pathways. What Heine &amp; Kuteva document for the HAND domain are HAND &gt; AGENT MARKER, HAND &gt; LOCATIVE / GENITIVE / POSSESSIVE, HAND &gt; FIVE, and HAND &gt; MANNER. None of these is the binary-contrastive marker we are claiming for PIE *-tero-. The closest documented pathway is HAND &gt; LOCATIVE, which forms one of the two component links we need.</w:t>
      </w:r>
    </w:p>
    <w:p>
      <w:pPr>
        <w:pStyle w:val="Heading2"/>
      </w:pPr>
      <w:r>
        <w:rPr>
          <w:color w:val="000000"/>
        </w:rPr>
        <w:t>10.1 The component links</w:t>
      </w:r>
    </w:p>
    <w:p>
      <w:r>
        <w:t>HAND &gt; SIDE is documented in P’urhepecha (the suffix -k’u from jak’i “hand” marks the locative on body parts), Mordvin (ked’ “hand” shows partial application of the body-part-to-spatial pathway), and the Mayan languages (Kaqchikel, Tz’utujil, K’iche’, Tzotzil use body-part terms productively as relational nouns expressing spatial locations). SPATIAL &gt; BINARY-CONTRASTIVE is documented in Tungusic and Uralic, and we develop the parallels in the next section.</w:t>
      </w:r>
    </w:p>
    <w:p>
      <w:pPr>
        <w:pStyle w:val="Heading2"/>
      </w:pPr>
      <w:r>
        <w:rPr>
          <w:color w:val="000000"/>
        </w:rPr>
        <w:t>10.2 Kahl’s typological parallels: Uralic, Saami, Tungusic</w:t>
      </w:r>
    </w:p>
    <w:p>
      <w:r>
        <w:t>Kahl (2024) — discussed in §4 above — documents typological parallels for binary-contrastive morphemes that are particularly informative. Kahl’s parallels were assembled to support his metanalysis hypothesis, but they bear directly on the typological question we face here, and they support the framework’s reading of the diachronic chain.</w:t>
      </w:r>
    </w:p>
    <w:p>
      <w:r>
        <w:t>The Uralic parallel: Proto-Uralic *-mpV is reflected in Finnish as the productive comparative formation (iso “large” → iso-mpi “larger”). But beside this productive comparative function, Finnish preserves “synchronically unusual binary-contrastive forms” (Kahl 2024: 12, citing Hakulinen 1957: 74–76) — the relative pronoun jompi and its interrogative equivalent kumpi “which of two.” That is, Finnish preserves *-mpV both in its productive comparative function and in fossilized binary-contrastive function. The same morpheme does both kinds of work — exactly the functional pairing the reversal hypothesis predicts for PIE *-tero-, where the binary-contrastive “which of two” function (póteros, katára-) and the gradational “more X” function (sophṓteros, návatara-) coexist.</w:t>
      </w:r>
    </w:p>
    <w:p>
      <w:r>
        <w:t>The Saami parallel: South Saami gåabpa and North Saami goabbá “which of two” are formally comparatives (Kahl 2024: 12, citing Bergsland 1946: 182). In some Saami varieties the parallel with Indo-Iranian extends further: the apparent superlative guhtemuš “which of several” corresponds to Vedic katamá-, Avestan katāma- “which of several.” The fine-grained correspondence in derivational behaviour between Saami and Indo-Iranian is, as Kahl notes, not plausibly attributable to language contact despite the existence of early Indo-Iranian loanwords in Finnic and Saami.</w:t>
      </w:r>
    </w:p>
    <w:p>
      <w:r>
        <w:t>The Tungusic parallel: in the Tungusic language Even, one suffix (Proto-Tungusic *-dımar / Proto-Northern Tungusic *-tmAr ~ *-d(ï)mAr) appears both as an optional comparative marker and as a binary-contrastive marker — Even hagdi-dmar “(the) older (of two),” ewee-dmer “the Even (of two men).” Although the comparative function is more widespread in Tungusic, Kahl notes that “it seems that the binary-contrastive function is older and was secondarily drawn into comparative constructions which previously used mainly analytic strategies” (Kahl 2024: 13).</w:t>
      </w:r>
    </w:p>
    <w:p>
      <w:r>
        <w:t>This last point is the most important for our purposes. In Tungusic, the binary-contrastive function is reconstructed as older than the comparative function, with the comparative arising secondarily from the binary-contrastive. This is exactly the diachronic ordering the framework proposes for PIE: binary-contrastive *-tero- (the original PIE function) generalized to gradational comparative (“more X”) in the Greek and Indo-Iranian innovation. The Tungusic parallel provides an independently attested case of the same diachronic development.</w:t>
      </w:r>
    </w:p>
    <w:p>
      <w:pPr>
        <w:pStyle w:val="Heading2"/>
      </w:pPr>
      <w:r>
        <w:rPr>
          <w:color w:val="000000"/>
        </w:rPr>
        <w:t>10.3 The English idiom</w:t>
      </w:r>
    </w:p>
    <w:p>
      <w:r>
        <w:t>There is one piece of cross-linguistic evidence for HAND used directly for binary contrast that does not require typological reconstruction, and it is hiding in plain sight. The English idiom “on the one hand … on the other hand” uses HAND as the explicit pivot for binary contrast in argumentation. When a speaker says “on the one hand the evidence supports X; on the other hand it supports Y,” HAND is doing the work of marking the two terms of a binary opposition. The construction is alive, productive, and unmistakable. It is also — as far as we can tell — not in Heine &amp; Kuteva’s database, presumably because it is idiomatic rather than fully grammaticalized into a bound morpheme. But the function it performs is exactly the function we are claiming for pre-PIE *t/d-er- in its grammaticalized form: HAND as the pivot for binary contrast.</w:t>
      </w:r>
    </w:p>
    <w:p>
      <w:pPr>
        <w:pStyle w:val="Heading2"/>
      </w:pPr>
      <w:r>
        <w:rPr>
          <w:color w:val="000000"/>
        </w:rPr>
        <w:t>10.4 The convergent case</w:t>
      </w:r>
    </w:p>
    <w:p>
      <w:r>
        <w:t>We have argued that *-tero- is, in its oldest documented function, the systematic morpheme for spatial-direction marking on local particles (§2), that the morphologically transparent compound ambidexter preserves the suffix’s hand-related lateralization function synchronically (§3), that an existing PIE phonological rule delivers the bare alternant from an original t-bearing form (§§5–6), that the inherited paradigm shows the conditioning predicted by that derivation (§7), that the Anatolian distribution follows as a structural prediction (§8), and that the typological component links and the diachronic ordering are independently attested (§10.1–10.3).</w:t>
      </w:r>
    </w:p>
    <w:p>
      <w:r>
        <w:rPr>
          <w:b/>
        </w:rPr>
        <w:t>Each of these is a distinct line of evidence. Table 3 collects them in summary form.</w:t>
      </w:r>
    </w:p>
    <w:p>
      <w:r>
        <w:rPr>
          <w:b/>
          <w:sz w:val="20"/>
        </w:rPr>
        <w:t xml:space="preserve">Table 3. </w:t>
      </w:r>
      <w:r>
        <w:rPr>
          <w:sz w:val="20"/>
        </w:rPr>
        <w:t>Reasons the contrastive *-tero- is semantically consistent with an original hand meaning.</w:t>
      </w:r>
    </w:p>
    <w:tbl>
      <w:tblPr>
        <w:tblStyle w:val="TableGrid"/>
        <w:tblW w:type="auto" w:w="0"/>
        <w:tblLook w:firstColumn="1" w:firstRow="1" w:lastColumn="0" w:lastRow="0" w:noHBand="0" w:noVBand="1" w:val="04A0"/>
      </w:tblPr>
      <w:tblGrid>
        <w:gridCol w:w="3120"/>
        <w:gridCol w:w="3120"/>
        <w:gridCol w:w="3120"/>
      </w:tblGrid>
      <w:tr>
        <w:tc>
          <w:tcPr>
            <w:tcW w:type="dxa" w:w="504"/>
            <w:vAlign w:val="center"/>
            <w:shd w:val="clear" w:color="auto" w:fill="E8E8E8"/>
          </w:tcPr>
          <w:p>
            <w:r/>
            <w:r>
              <w:rPr>
                <w:b/>
                <w:sz w:val="20"/>
              </w:rPr>
              <w:t>#</w:t>
            </w:r>
          </w:p>
        </w:tc>
        <w:tc>
          <w:tcPr>
            <w:tcW w:type="dxa" w:w="2664"/>
            <w:vAlign w:val="center"/>
            <w:shd w:val="clear" w:color="auto" w:fill="E8E8E8"/>
          </w:tcPr>
          <w:p>
            <w:r/>
            <w:r>
              <w:rPr>
                <w:b/>
                <w:sz w:val="20"/>
              </w:rPr>
              <w:t>Reason</w:t>
            </w:r>
          </w:p>
        </w:tc>
        <w:tc>
          <w:tcPr>
            <w:tcW w:type="dxa" w:w="6192"/>
            <w:vAlign w:val="center"/>
            <w:shd w:val="clear" w:color="auto" w:fill="E8E8E8"/>
          </w:tcPr>
          <w:p>
            <w:r/>
            <w:r>
              <w:rPr>
                <w:b/>
                <w:sz w:val="20"/>
              </w:rPr>
              <w:t>Evidence and source</w:t>
            </w:r>
          </w:p>
        </w:tc>
      </w:tr>
      <w:tr>
        <w:tc>
          <w:tcPr>
            <w:tcW w:type="dxa" w:w="504"/>
            <w:vAlign w:val="center"/>
          </w:tcPr>
          <w:p>
            <w:r/>
            <w:r>
              <w:rPr>
                <w:sz w:val="20"/>
              </w:rPr>
              <w:t>1.</w:t>
            </w:r>
          </w:p>
        </w:tc>
        <w:tc>
          <w:tcPr>
            <w:tcW w:type="dxa" w:w="2664"/>
            <w:vAlign w:val="center"/>
          </w:tcPr>
          <w:p>
            <w:r/>
            <w:r>
              <w:rPr>
                <w:sz w:val="20"/>
              </w:rPr>
              <w:t>The lateralization domain is hand-related</w:t>
            </w:r>
          </w:p>
        </w:tc>
        <w:tc>
          <w:tcPr>
            <w:tcW w:type="dxa" w:w="6192"/>
            <w:vAlign w:val="center"/>
          </w:tcPr>
          <w:p>
            <w:r/>
            <w:r>
              <w:rPr>
                <w:sz w:val="20"/>
              </w:rPr>
              <w:t>The suffix productively forms hand-side terms across multiple branches: Latin dexter, Greek deksiterós, Old English swiþro — “right (hand)” &gt; “right side” (§3).</w:t>
            </w:r>
          </w:p>
        </w:tc>
      </w:tr>
      <w:tr>
        <w:tc>
          <w:tcPr>
            <w:tcW w:type="dxa" w:w="504"/>
            <w:vAlign w:val="center"/>
          </w:tcPr>
          <w:p>
            <w:r/>
            <w:r>
              <w:rPr>
                <w:sz w:val="20"/>
              </w:rPr>
              <w:t>2.</w:t>
            </w:r>
          </w:p>
        </w:tc>
        <w:tc>
          <w:tcPr>
            <w:tcW w:type="dxa" w:w="2664"/>
            <w:vAlign w:val="center"/>
          </w:tcPr>
          <w:p>
            <w:r/>
            <w:r>
              <w:rPr>
                <w:sz w:val="20"/>
              </w:rPr>
              <w:t>Body parts lexicalize from the spatial adjective</w:t>
            </w:r>
          </w:p>
        </w:tc>
        <w:tc>
          <w:tcPr>
            <w:tcW w:type="dxa" w:w="6192"/>
            <w:vAlign w:val="center"/>
          </w:tcPr>
          <w:p>
            <w:r/>
            <w:r>
              <w:rPr>
                <w:sz w:val="20"/>
              </w:rPr>
              <w:t>The neuter of *h₁en-tero- “inner” lexicalizes as “entrails” independently in three branches: Latin intestina, Greek éntera, Sanskrit āntrá- (§2.2). The body-part lexicalization confirms the body-part orientation of the suffix.</w:t>
            </w:r>
          </w:p>
        </w:tc>
      </w:tr>
      <w:tr>
        <w:tc>
          <w:tcPr>
            <w:tcW w:type="dxa" w:w="504"/>
            <w:vAlign w:val="center"/>
          </w:tcPr>
          <w:p>
            <w:r/>
            <w:r>
              <w:rPr>
                <w:sz w:val="20"/>
              </w:rPr>
              <w:t>3.</w:t>
            </w:r>
          </w:p>
        </w:tc>
        <w:tc>
          <w:tcPr>
            <w:tcW w:type="dxa" w:w="2664"/>
            <w:vAlign w:val="center"/>
          </w:tcPr>
          <w:p>
            <w:r/>
            <w:r>
              <w:rPr>
                <w:sz w:val="20"/>
              </w:rPr>
              <w:t>The paradigm matches the predicted grammaticalization output</w:t>
            </w:r>
          </w:p>
        </w:tc>
        <w:tc>
          <w:tcPr>
            <w:tcW w:type="dxa" w:w="6192"/>
            <w:vAlign w:val="center"/>
          </w:tcPr>
          <w:p>
            <w:r/>
            <w:r>
              <w:rPr>
                <w:sz w:val="20"/>
              </w:rPr>
              <w:t>Almost every PIE local particle takes *-tero-; the resulting form names the spatial-contrastive of the particle (Table 1). This is precisely the output a HAND &gt; SIDE &gt; BINARY-SPATIAL-CONTRASTIVE grammaticalization would predict.</w:t>
            </w:r>
          </w:p>
        </w:tc>
      </w:tr>
      <w:tr>
        <w:tc>
          <w:tcPr>
            <w:tcW w:type="dxa" w:w="504"/>
            <w:vAlign w:val="center"/>
          </w:tcPr>
          <w:p>
            <w:r/>
            <w:r>
              <w:rPr>
                <w:sz w:val="20"/>
              </w:rPr>
              <w:t>4.</w:t>
            </w:r>
          </w:p>
        </w:tc>
        <w:tc>
          <w:tcPr>
            <w:tcW w:type="dxa" w:w="2664"/>
            <w:vAlign w:val="center"/>
          </w:tcPr>
          <w:p>
            <w:r/>
            <w:r>
              <w:rPr>
                <w:sz w:val="20"/>
              </w:rPr>
              <w:t>The binary-contrastive function uses a hand-pivot in living language</w:t>
            </w:r>
          </w:p>
        </w:tc>
        <w:tc>
          <w:tcPr>
            <w:tcW w:type="dxa" w:w="6192"/>
            <w:vAlign w:val="center"/>
          </w:tcPr>
          <w:p>
            <w:r/>
            <w:r>
              <w:rPr>
                <w:sz w:val="20"/>
              </w:rPr>
              <w:t>*-tero- marks “which of two” (Lat. uter, Skt. katára-, Av. katāra-, Gk. póteros). English preserves an idiomatic parallel — “on the one hand … on the other hand” — in which HAND serves as the explicit pivot for binary contrast (§10.3).</w:t>
            </w:r>
          </w:p>
        </w:tc>
      </w:tr>
      <w:tr>
        <w:tc>
          <w:tcPr>
            <w:tcW w:type="dxa" w:w="504"/>
            <w:vAlign w:val="center"/>
          </w:tcPr>
          <w:p>
            <w:r/>
            <w:r>
              <w:rPr>
                <w:sz w:val="20"/>
              </w:rPr>
              <w:t>5.</w:t>
            </w:r>
          </w:p>
        </w:tc>
        <w:tc>
          <w:tcPr>
            <w:tcW w:type="dxa" w:w="2664"/>
            <w:vAlign w:val="center"/>
          </w:tcPr>
          <w:p>
            <w:r/>
            <w:r>
              <w:rPr>
                <w:sz w:val="20"/>
              </w:rPr>
              <w:t>The component pathways are independently attested</w:t>
            </w:r>
          </w:p>
        </w:tc>
        <w:tc>
          <w:tcPr>
            <w:tcW w:type="dxa" w:w="6192"/>
            <w:vAlign w:val="center"/>
          </w:tcPr>
          <w:p>
            <w:r/>
            <w:r>
              <w:rPr>
                <w:sz w:val="20"/>
              </w:rPr>
              <w:t>HAND &gt; LOCATIVE / SIDE is documented in P’urhepecha, Mordvin, Mayan; HAND &gt; AGENT, HAND &gt; POSSESSIVE in Niger-Congo, Austronesian, Sino-Tibetan (Heine &amp; Kuteva 2002). SPATIAL &gt; BINARY-CONTRASTIVE in Tungusic, Uralic, Saami (Kahl 2024).</w:t>
            </w:r>
          </w:p>
        </w:tc>
      </w:tr>
      <w:tr>
        <w:tc>
          <w:tcPr>
            <w:tcW w:type="dxa" w:w="504"/>
            <w:vAlign w:val="center"/>
          </w:tcPr>
          <w:p>
            <w:r/>
            <w:r>
              <w:rPr>
                <w:sz w:val="20"/>
              </w:rPr>
              <w:t>6.</w:t>
            </w:r>
          </w:p>
        </w:tc>
        <w:tc>
          <w:tcPr>
            <w:tcW w:type="dxa" w:w="2664"/>
            <w:vAlign w:val="center"/>
          </w:tcPr>
          <w:p>
            <w:r/>
            <w:r>
              <w:rPr>
                <w:sz w:val="20"/>
              </w:rPr>
              <w:t>The diachronic ordering is independently attested</w:t>
            </w:r>
          </w:p>
        </w:tc>
        <w:tc>
          <w:tcPr>
            <w:tcW w:type="dxa" w:w="6192"/>
            <w:vAlign w:val="center"/>
          </w:tcPr>
          <w:p>
            <w:r/>
            <w:r>
              <w:rPr>
                <w:sz w:val="20"/>
              </w:rPr>
              <w:t>Tungusic shows BINARY-CONTRASTIVE &gt; COMPARATIVE — exactly the ordering PIE shows, with gradational “more X” as the late Greek/Indo-Iranian innovation (Handbook vol. 3; Milizia 2020). The Saami varieties show the same fine-grained Indo-Iranian-style derivational behavior.</w:t>
            </w:r>
          </w:p>
        </w:tc>
      </w:tr>
      <w:tr>
        <w:tc>
          <w:tcPr>
            <w:tcW w:type="dxa" w:w="504"/>
            <w:vAlign w:val="center"/>
          </w:tcPr>
          <w:p>
            <w:r/>
            <w:r>
              <w:rPr>
                <w:sz w:val="20"/>
              </w:rPr>
              <w:t>7.</w:t>
            </w:r>
          </w:p>
        </w:tc>
        <w:tc>
          <w:tcPr>
            <w:tcW w:type="dxa" w:w="2664"/>
            <w:vAlign w:val="center"/>
          </w:tcPr>
          <w:p>
            <w:r/>
            <w:r>
              <w:rPr>
                <w:sz w:val="20"/>
              </w:rPr>
              <w:t>The morphologically transparent witness is right there</w:t>
            </w:r>
          </w:p>
        </w:tc>
        <w:tc>
          <w:tcPr>
            <w:tcW w:type="dxa" w:w="6192"/>
            <w:vAlign w:val="center"/>
          </w:tcPr>
          <w:p>
            <w:r/>
            <w:r>
              <w:rPr>
                <w:sz w:val="20"/>
              </w:rPr>
              <w:t>Latin ambidexter parses as ambi- + deḱs- + -i- + -tero- = “on-both-sides + right-handed + CONTRASTIVE.” Festus (ed. Lindsay 1913: 5) gives the same parse. The compound describes a property of hands; the *-tero- element is doing hand-related work synchronically.</w:t>
            </w:r>
          </w:p>
        </w:tc>
      </w:tr>
      <w:tr>
        <w:tc>
          <w:tcPr>
            <w:tcW w:type="dxa" w:w="504"/>
            <w:vAlign w:val="center"/>
          </w:tcPr>
          <w:p>
            <w:r/>
            <w:r>
              <w:rPr>
                <w:sz w:val="20"/>
              </w:rPr>
              <w:t>8.</w:t>
            </w:r>
          </w:p>
        </w:tc>
        <w:tc>
          <w:tcPr>
            <w:tcW w:type="dxa" w:w="2664"/>
            <w:vAlign w:val="center"/>
          </w:tcPr>
          <w:p>
            <w:r/>
            <w:r>
              <w:rPr>
                <w:sz w:val="20"/>
              </w:rPr>
              <w:t>The Anatolian distribution becomes a prediction</w:t>
            </w:r>
          </w:p>
        </w:tc>
        <w:tc>
          <w:tcPr>
            <w:tcW w:type="dxa" w:w="6192"/>
            <w:vAlign w:val="center"/>
          </w:tcPr>
          <w:p>
            <w:r/>
            <w:r>
              <w:rPr>
                <w:sz w:val="20"/>
              </w:rPr>
              <w:t>Anatolian preserves a lexicalized bare relic (kattera-) but no productive *-tero-, with the productive contrastive function taken over by a different morpheme (-ezziya- &lt; *-eti-Ho-). Under the framework, this follows from the chronology of the Anatolian split. Under the standard view, it is unmotivated.</w:t>
            </w:r>
          </w:p>
        </w:tc>
      </w:tr>
      <w:tr>
        <w:tc>
          <w:tcPr>
            <w:tcW w:type="dxa" w:w="504"/>
            <w:vAlign w:val="center"/>
          </w:tcPr>
          <w:p>
            <w:r/>
            <w:r>
              <w:rPr>
                <w:sz w:val="20"/>
              </w:rPr>
              <w:t>9.</w:t>
            </w:r>
          </w:p>
        </w:tc>
        <w:tc>
          <w:tcPr>
            <w:tcW w:type="dxa" w:w="2664"/>
            <w:vAlign w:val="center"/>
          </w:tcPr>
          <w:p>
            <w:r/>
            <w:r>
              <w:rPr>
                <w:sz w:val="20"/>
              </w:rPr>
              <w:t>Independent published support for the locatival *-r-</w:t>
            </w:r>
          </w:p>
        </w:tc>
        <w:tc>
          <w:tcPr>
            <w:tcW w:type="dxa" w:w="6192"/>
            <w:vAlign w:val="center"/>
          </w:tcPr>
          <w:p>
            <w:r/>
            <w:r>
              <w:rPr>
                <w:sz w:val="20"/>
              </w:rPr>
              <w:t>Kahl (2024 §2.3.1) independently reconstructs *-er / *-ero- as a locatival morpheme. The framework reads *-tero- as *t/d-e- (hand) + *-r- (locative) + *-o- (thematic). Kahl and the framework agree on *-r- being locative; the only disagreement is on whether the t is metanalyzed or original (§4.2).</w:t>
            </w:r>
          </w:p>
        </w:tc>
      </w:tr>
    </w:tbl>
    <w:p/>
    <w:p>
      <w:r>
        <w:t>No single line of evidence forces the framework. Each could be accommodated under an alternative account, including the standard reading. What we claim is that the convergence is unusual. The framework explains nine separate observations from a single etymological source; the standard view leaves each as an unconnected fact about the morphology, with the etymological question of why *-tero- has the function it has unanswered. The framework’s value is in the unification, not in any one of the nine reasons taken on its own.</w:t>
      </w:r>
    </w:p>
    <w:p>
      <w:pPr>
        <w:pStyle w:val="Heading1"/>
      </w:pPr>
      <w:r>
        <w:rPr>
          <w:color w:val="000000"/>
        </w:rPr>
        <w:t>11. Future research: kinship, agent, locational, heteroclitic</w:t>
      </w:r>
    </w:p>
    <w:p>
      <w:r>
        <w:t>We have restricted the substantive thesis of this paper to the contrastive *-tero-, and have deliberately not pursued the further morphological extensions that the framework also touches. Each is interesting, and each will require its own paper.</w:t>
      </w:r>
    </w:p>
    <w:p>
      <w:r>
        <w:t>The kinship suffix *-(h₂)ter- (in *māter- “mother,” *ph₂ter- “father,” *bʰrāter- “brother,” *dʰugh₂ter- “daughter,” *swesōr- “sister”) shares the t-r structure of the contrastive *-tero-. Whether it descends from the same pre-PIE *t/d-er- hand-noun, perhaps via a possessive/relational pathway (HAND &gt; GENITIVE/POSSESSIVE in Heine &amp; Kuteva 2002) and a subsequent kinship-classifier development, is a question we leave open. Latin matertera “maternal aunt” — a Latin-internal extension of *-tero- to a kinship term — hints at the kind of pathway that could connect the two morphemes. Aufderheide &amp; Keydana (2016) argue that the i in Sanskrit pitár- “father” is a synchronic Sanskrit repair of an illegal *ptr- onset rather than a reflex of laryngeal vocalization, which has implications for the reconstruction of *(h₂)ter- and for the relationship between the kinship suffix and the contrastive *-tero-. Aufderheide &amp; Keydana (2016) and Hill (2003) on inner-sandhi at morpheme boundaries are the natural starting points for the future paper.</w:t>
      </w:r>
    </w:p>
    <w:p>
      <w:r>
        <w:t>The agent suffix *-ter-/-tor- (in Greek dó-tor, Latin da-tor, Sanskrit dā-tār-) similarly shares the t-r structure. The cross-linguistic pathway HAND &gt; AGENT MARKER is one of the well-documented HAND grammaticalizations (Heine &amp; Kuteva 2002: 167–168). Whether the PIE agent suffix descends from the same pre-PIE etymon is the natural extension.</w:t>
      </w:r>
    </w:p>
    <w:p>
      <w:r>
        <w:t>The locational *-eti-Ho- (in Hittite -ezziya-) was discussed briefly in §2.4 above. Whether it represents a distinct pre-PIE morpheme or descends from the same etymon as *-tero- via a different ablaut/extension grade is a separate question.</w:t>
      </w:r>
    </w:p>
    <w:p>
      <w:r>
        <w:t>The heteroclitic *-r/n- body-part stems (in *u̍ód-r̥ / u̍id-eń- “water,” *peh₂-u̥̍r / peh₂u̍en- “fire,” *yekʷ-r̥ / yekʷ-en- “liver”) connect more directly with Paper 3 of this project, which develops a compositional analysis of the etymon with the *-r- as an inherited locative formative.</w:t>
      </w:r>
    </w:p>
    <w:p>
      <w:pPr>
        <w:pStyle w:val="Heading1"/>
      </w:pPr>
      <w:r>
        <w:rPr>
          <w:color w:val="000000"/>
        </w:rPr>
        <w:t>12. Remaining problems</w:t>
      </w:r>
    </w:p>
    <w:p>
      <w:r>
        <w:t>Three problems deserve flagging.</w:t>
      </w:r>
    </w:p>
    <w:p>
      <w:r>
        <w:t>First, the directionality question is genuinely contested. The standard view (bare *-(e)ro- as primary) and its sophisticated metanalysis form (Kahl 2024) are both consistent with the data. The framework provides independent reasons for the reversal — the etymological motivation of the hand-noun source — but the §7 distributional test does not by itself decide between reversal and metanalysis. The reversal predicts the systematic distribution from a single phonological rule; metanalysis predicts the same distribution from the source-form environments; both are compatible with the data.</w:t>
      </w:r>
    </w:p>
    <w:p>
      <w:r>
        <w:t>Second, the proposed grammaticalization pathway from HAND to the contrastive function is supported by typological parallels in the component links but does not have direct PIE-internal documentation. The deksiterós / dexter compounds preserve the lateralization function transparently, but the further step — from lateralized relational form to general spatial-direction marker on local particles — is reconstructed rather than directly attested.</w:t>
      </w:r>
    </w:p>
    <w:p>
      <w:r>
        <w:t>Third, the framework requires a pre-PIE stage with the body-part word *t/d-er-, and the timing of the various grammaticalizations relative to PIE-internal sound changes is not fully worked out. We have placed the cluster simplification at pre-PIE / early PIE, before the Anatolian split, but a fuller chronology remains to be developed.</w:t>
      </w:r>
    </w:p>
    <w:p>
      <w:r>
        <w:t>We do not regard any of these as fatal. Each is a place where further work is needed; none refutes the proposal as a whole.</w:t>
      </w:r>
    </w:p>
    <w:p>
      <w:pPr>
        <w:pStyle w:val="Heading1"/>
      </w:pPr>
      <w:r>
        <w:rPr>
          <w:color w:val="000000"/>
        </w:rPr>
        <w:t>13. Conclusion</w:t>
      </w:r>
    </w:p>
    <w:p>
      <w:r>
        <w:t>The morphological argument of this paper rests on a paradigm-level observation: the PIE contrastive suffix *-tero- is, in its oldest documented function, the systematic morpheme for spatial-direction marking across the Indo-European family. Every major PIE local particle has a *-tero- derivative naming the spatial-contrastive of that particle, from Latin citra/ultra/intra/extra/contra to Sanskrit ádhara-/uttara-/ápara-/ántara- to Avestan and Old Persian fratara-/apatara-/upatara- to Hittite kattera-. The Handbook of Indo-European Linguistics states explicitly that this spatial-particle function is the original PIE function of the suffix; the gradational “more X” use is a Greek and Indo-Iranian innovation.</w:t>
      </w:r>
    </w:p>
    <w:p>
      <w:r>
        <w:t>The framework of Paper 1 — pre-PIE *t/d-er- “hand, open palm” — provides exactly the etymological motivation that the standard treatment lacks. A hand-noun grammaticalizing through HAND &gt; RIGHT-SIDE &gt; BINARY-SPATIAL-CONTRASTIVE is exactly what we would expect to find as the systematic spatial-direction marker on local particles. The Latin compound ambidexter is the morphologically transparent witness; the Hittite kattera- is the phonological test case (consistent with Byrd’s OCP-driven cluster simplification under his explicitly recognized suffix-initial deletion option); the Anatolian distribution (lexicalized *-(e)ro- relic, no productive *-tero-, replaced by *-eti-Ho-) is the structural prediction.</w:t>
      </w:r>
    </w:p>
    <w:p>
      <w:r>
        <w:t>The reversal hypothesis additionally predicts a phonological pattern in the inherited PIE positional adjective paradigm: bare *-(e)ro- on stop-final bases, t-bearing *-tero- on non-stop-final bases. Run on Sanskrit, Avestan, Latin, and Greek, the prediction is matched in 19 of 19 etymologically transparent cases (§7). The pattern argues against the older “irregular extension” framing of the standard view; it does not by itself decide between the framework’s reversal and Kahl’s (2024) metanalysis hypothesis. On the question Kahl and the framework agree about — the locatival origin of *-ero-/-er — the framework’s compositional reading of *-tero- as *t/d-e- (hand) + *-r- (locative) + *-o- (thematic) inherits Kahl’s argument as independent published support. The narrowed disagreement is about where the t came from. Kahl reads it as metanalyzed in from t-final stems. The framework reads it as the initial consonant of the hand-noun *t/d-e-, which had it from the start.</w:t>
      </w:r>
    </w:p>
    <w:p>
      <w:r>
        <w:t>We do not claim the hypothesis is correct in all its details. The reversal of the standard directionality is contested. The phonological mechanism, while built entirely from existing PIE rules, applies them to a specific case in a way that has not been previously argued. The grammaticalization pathway from HAND to the contrastive function is reconstructed rather than directly attested. The pre-PIE chronology is open. We do claim that the hypothesis is internally consistent, that it provides a unified explanation where the standard treatment provides only description, that the paradigm-level evidence is dense and well-documented, that the distributional prediction of §7 is empirically substantive, and that the framework deserves examination by the broader scholarly community as an alternative reading of a morphological landscape that has been catalogued but not etymologized for over a century.</w:t>
      </w:r>
    </w:p>
    <w:p>
      <w:pPr>
        <w:pStyle w:val="Heading1"/>
      </w:pPr>
      <w:r>
        <w:rPr>
          <w:color w:val="000000"/>
        </w:rPr>
        <w:t>14. Probability estimate</w:t>
      </w:r>
    </w:p>
    <w:p>
      <w:r>
        <w:t>Following the practice established in Paper 1, we close with an explicit probability assessment, framed conditionally rather than marginally.</w:t>
      </w:r>
    </w:p>
    <w:p>
      <w:r>
        <w:t>Conditional on the central claim of Paper 1 being correct (i.e., that pre-PIE had a body-part word *t/d-er- meaning “hand, open palm”), Claude’s estimate of the probability that the substantive thesis of this paper — that this pre-PIE *t/d-er- gave rise to the PIE contrastive *-tero- via the lateralization pathway HAND &gt; SIDE &gt; BINARY-SPATIAL-CONTRASTIVE — is correct in its basic outline is approximately 35–45%. The §7 distributional test and the engagement with Kahl 2024 (specifically, the recognition that Kahl’s locatival origin for *-ero- supports the framework’s reading of *-r-) raise the conditional estimate slightly above what earlier drafts implied, but not dramatically.</w:t>
      </w:r>
    </w:p>
    <w:p>
      <w:r>
        <w:t>The marginal probability — i.e., the unconditioned probability that the substantive thesis of this paper is correct, integrating over the probability that Paper 1 is also correct — is approximately the product: 15–20% (Paper 1) × 35–45% (Paper 2 conditional on Paper 1) ≈ 5–9%. This is substantially lower than what earlier marginal framings of the trilogy have implied, and the difference matters: it indicates that the framework’s cumulative ambition is being more accurately represented when the conditional dependency is made explicit.</w:t>
      </w:r>
    </w:p>
    <w:p>
      <w:r>
        <w:t>We continue to regard the central claim as more likely wrong than right. We continue to regard it as interesting enough, and the evidential structure dense enough, that publication for examination by other scholars is warranted. These two judgments are compatible, and they reflect the epistemic posture maintained across all papers in the project. The hypothesis is offered for consideration, not as a refutation of the standard view.</w:t>
      </w:r>
    </w:p>
    <w:p>
      <w:pPr>
        <w:pStyle w:val="Heading1"/>
      </w:pPr>
      <w:r>
        <w:rPr>
          <w:color w:val="000000"/>
        </w:rPr>
        <w:t>15. Authorship and contributions</w:t>
      </w:r>
    </w:p>
    <w:p>
      <w:r>
        <w:t>This is the sixth version of Paper 2 in the t/d-er- project. It builds on Paper 1 (Chavis &amp; Claude 2026, “The Hand That Gives,” LingBuzz v22), co-authored by J.M. Chavis (human) and Claude Opus 4.7 (Anthropic). We continue the same co-authorship arrangement here.</w:t>
      </w:r>
    </w:p>
    <w:p>
      <w:r>
        <w:t>Chavis’s contributions. The substantive intellectual direction of Paper 2 originates with Chavis. The hypothesis that *t/d-er- “hand” underlies the contrastive *-tero- was first articulated by Chavis. The slogan “the ter in -tero- is hand” is Chavis’s. The decision to lean into the reversal directionality, against the established Szemerényi framing, is Chavis’s. Chavis identified the ambidexter compound as the morphologically transparent witness. Chavis insisted that the phonological argument should rely entirely on existing PIE rules rather than positing a new sound law — a constraint that disciplined the development of the argument and led to the engagement with Byrd (2015) and the identification of fn. 161 as the wiggle room. The pivotal question that opened the §7 distributional test — “if *-tero- is paradigmatically systematic, it wasn’t an accident; what would constitute a test for that intuition?” — is Chavis’s. Chavis also directed the investigation of published challenges to the standard directionality, which yielded the engagement with Kahl 2024.</w:t>
      </w:r>
    </w:p>
    <w:p>
      <w:r>
        <w:t>For the v3 → v4 revision: Chavis arranged for the v3 draft to be reviewed against primary sources by an independent Claude session, which surfaced citation problems in the v3 §2.5 *duitero- discussion (the alleged “Lubotsky 1994: 203” and “Kloekhorst 2025: fn. 35” references could not be verified). Chavis then directed the v4 revision: cut the unverifiable §2.5 entirely; reframe §4 around the genuine agreement-and-disagreement with Kahl 2024 (Kahl’s locatival origin of *-ero- as independent support for the framework’s locative *-r-, with the disagreement narrowed to the source of the t); soften §7’s claim about the distributional test (it argues against the older “irregular extension” framing but does not decide between the framework’s reversal and Kahl’s metanalysis); and shorten the prose throughout.</w:t>
      </w:r>
    </w:p>
    <w:p>
      <w:r>
        <w:t>For v4 → v5 specifically: Chavis directed Claude to match the visual format of the LingBuzz-posted Paper 2 v2 (Calibri 11pt, centered title block); to fix the Aufderheide initial typo (J. → T.F., per the Göttingen-published article); to add Lipp 2009 (both volumes) to the references list and properly identify the Lipp 2017 reference (the GeSuS abstract Chavis verified by uploading the conference HTML); and to do a light prose-economy pass without altering substantive content.</w:t>
      </w:r>
    </w:p>
    <w:p>
      <w:r>
        <w:t>For v5 → v6: Chavis directed a visual / rhetorical pass aimed at making the strength of the argument more visible without adding aggressive language or signaling a dumbing-down. Claude added three tables (Table 1 on the *-tero- spatial-direction paradigm in §2; Table 2 on the distributional test in §7; Table 3 on the convergent reasons *-tero- is consistent with hand-origin in §10), a derivation block in §5 visualizing the kattera- derivation step-by-step, and three bolded thesis sentences as section signposts (the opening “the ter- in *-tero- is hand,” the §2.5 “this is the standard view, not our framework’s claim,” and the §8 closing on Anatolian distribution as prediction). The per-branch prose listings in §2 and §7 were tightened because the tables now do the listing work; the substantive content and citations are unchanged from v5.</w:t>
      </w:r>
    </w:p>
    <w:p>
      <w:r>
        <w:t>Claude’s contributions. Claude’s contributions are primarily in source synthesis, exposition, and analytical development from Chavis’s structural direction. Claude searched, read, and digested the relevant published literature (Lundquist &amp; Yates 2017; Kulikov, Dupraz, Milizia, and Malzahn &amp; Fellner in Keydana et al. 2020; Kloekhorst 2008; Byrd 2015; Melchert 1994 and 2017; Heine &amp; Kuteva 2002; de Vaan 2008; Kahl 2024; Lipp 2009; Lipp 2017; Aufderheide &amp; Keydana 2016; and ancillary sources). Claude identified Byrd’s footnote 161 as the explicit recognition of suffix-initial deletion, the lynchpin of §§5–6. Claude documented the Latin -tra/-trō paradigm from de Vaan and the Avestan/Old Persian “oldest nucleus” statement from Milizia. Claude developed the §7 distributional test cases across Sanskrit, Avestan, Latin, and Greek positional adjective paradigms and characterized the failure mode (pronominal possessives). Claude surfaced Kahl’s typological parallels (Uralic, Saami, Tungusic) for §10. The Anatolian distribution argument in §8 was Claude’s analytical proposal; Chavis evaluated and endorsed it. Claude’s probability estimate in §14 is its own.</w:t>
      </w:r>
    </w:p>
    <w:p>
      <w:r>
        <w:t>On the matter of memory and continuity. Claude is an AI system without persistent memory between sessions; the intellectual continuity of the project is supplied by Chavis through systematic transcript management and by returning Claude’s attention to the project’s structure and accumulated findings at the start of each session. The collaboration is genuine. The argument was built together. Its strengths and weaknesses belong to both authors, with the responsibility resting with Chavis for the substantive thesis and with Claude for the quality and accuracy of the exposition.</w:t>
      </w:r>
    </w:p>
    <w:p>
      <w:pPr>
        <w:pStyle w:val="Heading1"/>
      </w:pPr>
      <w:r>
        <w:rPr>
          <w:color w:val="000000"/>
        </w:rPr>
        <w:t>References</w:t>
      </w:r>
    </w:p>
    <w:p>
      <w:pPr>
        <w:spacing w:after="80"/>
      </w:pPr>
      <w:r>
        <w:t>Aufderheide, T.F. and G. Keydana. 2016. Die i-Epenthese im Altindoarischen: Laryngalvokalisierung oder “Verbindungsglied”? Historische Sprachforschung 129: 125–153.</w:t>
      </w:r>
    </w:p>
    <w:p>
      <w:pPr>
        <w:spacing w:after="80"/>
      </w:pPr>
      <w:r>
        <w:t>Beekes, R.S.P. (with the assistance of L. van Beek). 2010. Etymological Dictionary of Greek. 2 vols. Leiden Indo-European Etymological Dictionary Series 10. Leiden: Brill.</w:t>
      </w:r>
    </w:p>
    <w:p>
      <w:pPr>
        <w:spacing w:after="80"/>
      </w:pPr>
      <w:r>
        <w:t>Bergsland, K. 1946. Røros-lappisk grammatikk. Oslo: Aschehoug.</w:t>
      </w:r>
    </w:p>
    <w:p>
      <w:pPr>
        <w:spacing w:after="80"/>
      </w:pPr>
      <w:r>
        <w:t>Brugmann, K. and B. Delbrück. 1897–1916. Grundriss der vergleichenden Grammatik der indogermanischen Sprachen. 2nd ed. Strassburg: Trübner.</w:t>
      </w:r>
    </w:p>
    <w:p>
      <w:pPr>
        <w:spacing w:after="80"/>
      </w:pPr>
      <w:r>
        <w:t>Byrd, A.M. 2015. The Indo-European Syllable. Leiden: Brill. [Chapter 3.6 on the Métron Rule and Chapter 7 on the IE syllable; footnote 161 on dental-deletion alternatives.]</w:t>
      </w:r>
    </w:p>
    <w:p>
      <w:pPr>
        <w:spacing w:after="80"/>
      </w:pPr>
      <w:r>
        <w:t>Chavis, J.M. and Claude. 2026. The Hand That Gives: PIE *der- and the give/take root, an alternative reconstruction proposed for consideration. LingBuzz v22.</w:t>
      </w:r>
    </w:p>
    <w:p>
      <w:pPr>
        <w:spacing w:after="80"/>
      </w:pPr>
      <w:r>
        <w:t>de Vaan, M. 2008. Etymological Dictionary of Latin and the Other Italic Languages. Leiden: Brill.</w:t>
      </w:r>
    </w:p>
    <w:p>
      <w:pPr>
        <w:spacing w:after="80"/>
      </w:pPr>
      <w:r>
        <w:t>Dixon, R.M.W. 2008. Comparative constructions: A cross-linguistic typology. Studies in Language 32: 787–817.</w:t>
      </w:r>
    </w:p>
    <w:p>
      <w:pPr>
        <w:spacing w:after="80"/>
      </w:pPr>
      <w:r>
        <w:t>Dupraz, E. 2020. Sabellic. In Keydana, Hock &amp; Widmer 2020.</w:t>
      </w:r>
    </w:p>
    <w:p>
      <w:pPr>
        <w:spacing w:after="80"/>
      </w:pPr>
      <w:r>
        <w:t>Festus, S.P. (ed. W.M. Lindsay). 1913. De Verborum Significatu quae supersunt cum Pauli Epitome. Leipzig: Teubner.</w:t>
      </w:r>
    </w:p>
    <w:p>
      <w:pPr>
        <w:spacing w:after="80"/>
      </w:pPr>
      <w:r>
        <w:t>Fortson, B.W. 2010. Indo-European Language and Culture. 2nd ed. Oxford: Wiley-Blackwell.</w:t>
      </w:r>
    </w:p>
    <w:p>
      <w:pPr>
        <w:spacing w:after="80"/>
      </w:pPr>
      <w:r>
        <w:t>Hakulinen, L. 1957. Suomen kielen rakenne ja kehitys. Helsinki: Otava.</w:t>
      </w:r>
    </w:p>
    <w:p>
      <w:pPr>
        <w:spacing w:after="80"/>
      </w:pPr>
      <w:r>
        <w:t>Heine, B. and T. Kuteva. 2002. World Lexicon of Grammaticalization. Cambridge: Cambridge University Press.</w:t>
      </w:r>
    </w:p>
    <w:p>
      <w:pPr>
        <w:spacing w:after="80"/>
      </w:pPr>
      <w:r>
        <w:t>Hill, E. 2003. Untersuchungen zum inneren Sandhi des Indogermanischen: Der Zusammenstoß von Dentalplosiven im Indoiranischen, Germanischen, Italischen und Keltischen. Bremen: Hempen.</w:t>
      </w:r>
    </w:p>
    <w:p>
      <w:pPr>
        <w:spacing w:after="80"/>
      </w:pPr>
      <w:r>
        <w:t>Kahl, L. 2024. Diachronic Studies in Indo-European Degree Morphology. PhD dissertation, Harvard University. https://nrs.harvard.edu/URN-3:HUL.INSTREPOS:37378976. [Chapter 2 on origins and the secondary comparative; §§2.3.1–2.3.3 on the locatival origin of *-ero- and the genesis of *-ter and *-tero- by metanalysis.]</w:t>
      </w:r>
    </w:p>
    <w:p>
      <w:pPr>
        <w:spacing w:after="80"/>
      </w:pPr>
      <w:r>
        <w:t>Keydana, G., H.H. Hock and P. Widmer (eds.). 2020. Comparison and Gradation in Indo-European. Berlin: De Gruyter.</w:t>
      </w:r>
    </w:p>
    <w:p>
      <w:pPr>
        <w:spacing w:after="80"/>
      </w:pPr>
      <w:r>
        <w:t>Klein, J., B. Joseph and M. Fritz (eds.). 2017–2018. Handbook of Comparative and Historical Indo-European Linguistics, vols. 1–3. Berlin: De Gruyter.</w:t>
      </w:r>
    </w:p>
    <w:p>
      <w:pPr>
        <w:spacing w:after="80"/>
      </w:pPr>
      <w:r>
        <w:t>Kloekhorst, A. 2008. Etymological Dictionary of the Hittite Inherited Lexicon. Leiden: Brill.</w:t>
      </w:r>
    </w:p>
    <w:p>
      <w:pPr>
        <w:spacing w:after="80"/>
      </w:pPr>
      <w:r>
        <w:t>Kloekhorst, A. and T. Pronk (eds.). 2019. The Precursors of Proto-Indo-European: The Indo-Anatolian and Indo-Uralic Hypotheses. Leiden: Brill.</w:t>
      </w:r>
    </w:p>
    <w:p>
      <w:pPr>
        <w:spacing w:after="80"/>
      </w:pPr>
      <w:r>
        <w:t>Kulikov, L. 2020. Old Indic. In Keydana, Hock &amp; Widmer 2020.</w:t>
      </w:r>
    </w:p>
    <w:p>
      <w:pPr>
        <w:spacing w:after="80"/>
      </w:pPr>
      <w:r>
        <w:t>Lipp, R. 2009a. Die indogermanischen und einzelsprachlichen Palatale im Indoiranischen. Band I: Neurekonstruktion, Nuristan-Sprachen, Genese der indoarischen Retroflexe, Indoarisch von Mitanni. Heidelberg: Universitätsverlag Winter.</w:t>
      </w:r>
    </w:p>
    <w:p>
      <w:pPr>
        <w:spacing w:after="80"/>
      </w:pPr>
      <w:r>
        <w:t>Lipp, R. 2009b. Die indogermanischen und einzelsprachlichen Palatale im Indoiranischen. Band II: Thorn-Problem, indoiranische Laryngalvokalisation. Heidelberg: Universitätsverlag Winter.</w:t>
      </w:r>
    </w:p>
    <w:p>
      <w:pPr>
        <w:spacing w:after="80"/>
      </w:pPr>
      <w:r>
        <w:t>Lipp, R. 2017. Hittite katta, Cuneiform Luvian zanta and the conditions of the Luvo-Lycian dorsal palatalization. Conference abstract, Gesellschaft für Sprache und Sprachen (GeSuS), Univerzita Karlova v Praze. [Source for the gloss of *ḱm̥t- as “into close contact, into/under pressure”.]</w:t>
      </w:r>
    </w:p>
    <w:p>
      <w:pPr>
        <w:spacing w:after="80"/>
      </w:pPr>
      <w:r>
        <w:t>LIV² = Rix, H. (ed.). 2001. Lexikon der indogermanischen Verben. 2nd ed. Wiesbaden: Reichert.</w:t>
      </w:r>
    </w:p>
    <w:p>
      <w:pPr>
        <w:spacing w:after="80"/>
      </w:pPr>
      <w:r>
        <w:t>Lundquist, J. and A.D. Yates. 2017. The morphology of Proto-Indo-European. In Klein, Joseph &amp; Fritz (eds.), Handbook of Comparative and Historical Indo-European Linguistics, vol. 3, ch. 122. Berlin: De Gruyter.</w:t>
      </w:r>
    </w:p>
    <w:p>
      <w:pPr>
        <w:spacing w:after="80"/>
      </w:pPr>
      <w:r>
        <w:t>Malzahn, M. and H. Fellner. 2020. Tocharian. In Keydana, Hock &amp; Widmer 2020.</w:t>
      </w:r>
    </w:p>
    <w:p>
      <w:pPr>
        <w:spacing w:after="80"/>
      </w:pPr>
      <w:r>
        <w:t>Mayrhofer, M. 1986. Indogermanische Grammatik I/2: Lautlehre. Heidelberg: Winter.</w:t>
      </w:r>
    </w:p>
    <w:p>
      <w:pPr>
        <w:spacing w:after="80"/>
      </w:pPr>
      <w:r>
        <w:t>Meillet, A. 1934. Introduction à l’étude comparative des langues indo-européennes. 7th ed. Paris: Hachette.</w:t>
      </w:r>
    </w:p>
    <w:p>
      <w:pPr>
        <w:spacing w:after="80"/>
      </w:pPr>
      <w:r>
        <w:t>Melchert, H.C. 1994. Anatolian Historical Phonology. Amsterdam: Rodopi.</w:t>
      </w:r>
    </w:p>
    <w:p>
      <w:pPr>
        <w:spacing w:after="80"/>
      </w:pPr>
      <w:r>
        <w:t>Melchert, H.C. 2014. Anatolian. In Klein, Joseph &amp; Fritz (eds.), Handbook of Comparative and Historical Indo-European Linguistics. Berlin: De Gruyter.</w:t>
      </w:r>
    </w:p>
    <w:p>
      <w:pPr>
        <w:spacing w:after="80"/>
      </w:pPr>
      <w:r>
        <w:t>Melchert, H.C. 2017. Hittite Historical Phonology after 100 Years (and after 20 years). Manuscript / forthcoming.</w:t>
      </w:r>
    </w:p>
    <w:p>
      <w:pPr>
        <w:spacing w:after="80"/>
      </w:pPr>
      <w:r>
        <w:t>Milizia, P. 2020. Old Iranian. In Keydana, Hock &amp; Widmer 2020.</w:t>
      </w:r>
    </w:p>
    <w:p>
      <w:pPr>
        <w:spacing w:after="80"/>
      </w:pPr>
      <w:r>
        <w:t>Saussure, F. de. 1885. Cited in Mayrhofer 1986 as the original observation underlying the Métron Rule.</w:t>
      </w:r>
    </w:p>
    <w:p>
      <w:pPr>
        <w:spacing w:after="80"/>
      </w:pPr>
      <w:r>
        <w:t>Schwyzer, E. 1939. Griechische Grammatik I. Munich: Beck.</w:t>
      </w:r>
    </w:p>
    <w:p>
      <w:pPr>
        <w:spacing w:after="80"/>
      </w:pPr>
      <w:r>
        <w:t>Sihler, A.L. 1995. New Comparative Grammar of Greek and Latin. Oxford: Oxford University Press.</w:t>
      </w:r>
    </w:p>
    <w:p>
      <w:pPr>
        <w:spacing w:after="80"/>
      </w:pPr>
      <w:r>
        <w:t>Stassen, L. 1985. Comparison and Universal Grammar. Oxford: Blackwell.</w:t>
      </w:r>
    </w:p>
    <w:p>
      <w:pPr>
        <w:spacing w:after="80"/>
      </w:pPr>
      <w:r>
        <w:t>Szemerényi, O. 1996. Introduction to Indo-European Linguistics. 4th ed. Oxford: Oxford University Press.</w:t>
      </w:r>
    </w:p>
    <w:p>
      <w:pPr>
        <w:spacing w:after="80"/>
      </w:pPr>
      <w:r>
        <w:t>Wackernagel, J. and A. Debrunner. 1957. Altindische Grammatik II.2. Göttingen: Vandenhoeck &amp; Ruprecht.</w:t>
      </w:r>
    </w:p>
    <w:p>
      <w:pPr>
        <w:spacing w:after="80"/>
      </w:pPr>
      <w:r>
        <w:t>Weiss, M. 2009. Outline of the Historical and Comparative Grammar of Latin. Ann Arbor: Beech Stave.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