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565E6" w14:textId="2A6EFCDC" w:rsidR="00415D32" w:rsidRPr="00B251FA" w:rsidRDefault="00000000">
      <w:pPr>
        <w:pStyle w:val="1"/>
        <w:rPr>
          <w:lang w:val="ru-RU"/>
        </w:rPr>
      </w:pPr>
      <w:r>
        <w:t xml:space="preserve">Types of Corpora: General, Specialized, and Parallel </w:t>
      </w:r>
    </w:p>
    <w:p w14:paraId="0F82F669" w14:textId="77777777" w:rsidR="00415D32" w:rsidRDefault="00415D32"/>
    <w:p w14:paraId="2E33C30F" w14:textId="77777777" w:rsidR="00415D32" w:rsidRDefault="00000000">
      <w:r>
        <w:t>Introduction</w:t>
      </w:r>
    </w:p>
    <w:p w14:paraId="12CED0AC" w14:textId="77777777" w:rsidR="00415D32" w:rsidRDefault="00000000">
      <w:r>
        <w:t>In modern linguistics, corpus-based research has become one of the most fundamental and influential methodologies. A corpus—a systematically compiled, electronically stored body of authentic texts—offers linguists the opportunity to analyze language empirically rather than relying solely on intuition. Corpus linguistics has reshaped fields such as grammar description, lexicography, sociolinguistics, discourse analysis, translation studies, computational linguistics, and language pedagogy. As the digital era expands the availability and size of corpora, understanding the differences among corpus types becomes increasingly important for students and researchers.</w:t>
      </w:r>
    </w:p>
    <w:p w14:paraId="23280F22" w14:textId="77777777" w:rsidR="00415D32" w:rsidRDefault="00415D32"/>
    <w:p w14:paraId="52D94B1D" w14:textId="77777777" w:rsidR="00415D32" w:rsidRDefault="00000000">
      <w:r>
        <w:t>Among the many classifications, three main corpus types—general corpora, specialized corpora, and parallel corpora—play the most essential roles. Each offers unique strengths, methodological functions, and applications across academic and applied linguistic domains. This article provides an expanded 2000‑word examination of these corpora, exploring their purposes, structure, examples, advantages, limitations, and contributions to linguistic scholarship.</w:t>
      </w:r>
    </w:p>
    <w:p w14:paraId="7523877A" w14:textId="77777777" w:rsidR="00415D32" w:rsidRDefault="00415D32"/>
    <w:p w14:paraId="6F113B65" w14:textId="77777777" w:rsidR="00415D32" w:rsidRDefault="00000000">
      <w:r>
        <w:t>1. General Corpora</w:t>
      </w:r>
    </w:p>
    <w:p w14:paraId="03207713" w14:textId="77777777" w:rsidR="00415D32" w:rsidRDefault="00000000">
      <w:r>
        <w:t>General corpora (also called reference corpora) aim to represent the language as a whole. They include various genres, registers, and communicative contexts, creating a balanced dataset that approximates natural language use in a speech community. Because of their representativeness, general corpora serve as primary resources for describing the grammar, lexis, phraseology, and discourse features of a language.</w:t>
      </w:r>
    </w:p>
    <w:p w14:paraId="0F84BE3D" w14:textId="77777777" w:rsidR="00415D32" w:rsidRDefault="00415D32"/>
    <w:p w14:paraId="7282F5B0" w14:textId="77777777" w:rsidR="00415D32" w:rsidRDefault="00000000">
      <w:r>
        <w:t>Examples of major general corpora include the British National Corpus (BNC), the Corpus of Contemporary American English (COCA), the Global Web‑Based English Corpus (GloWbE), and the English Web Corpus (enTenTen). Many languages now have national corpora, including the Russian National Corpus, the Korean National Corpus, and the Uzbek National Corpus.</w:t>
      </w:r>
    </w:p>
    <w:p w14:paraId="25185561" w14:textId="77777777" w:rsidR="00415D32" w:rsidRDefault="00415D32"/>
    <w:p w14:paraId="3190280E" w14:textId="77777777" w:rsidR="00415D32" w:rsidRDefault="00000000">
      <w:r>
        <w:t xml:space="preserve">General corpora offer tremendous advantages. First, they reveal frequency patterns, which are crucial for lexicographers and teachers. High‑frequency items such as “get,” “make,” or </w:t>
      </w:r>
      <w:r>
        <w:lastRenderedPageBreak/>
        <w:t>“take” display unique collocational behaviors that influence meaning. Second, they support the study of language change. For example, researchers have used COCA to document the rise of progressive constructions (“I’m loving it”), the spread of gender‑neutral pronouns, and shifts in vocabulary linked to technology. Third, general corpora provide normative data used to compile dictionaries, academic word lists, and grammar books.</w:t>
      </w:r>
    </w:p>
    <w:p w14:paraId="025D754F" w14:textId="77777777" w:rsidR="00415D32" w:rsidRDefault="00415D32"/>
    <w:p w14:paraId="566A1178" w14:textId="77777777" w:rsidR="00415D32" w:rsidRDefault="00000000">
      <w:r>
        <w:t>However, general corpora also have limitations. Their broad scope makes them less suitable for in‑depth analysis of specialized domains such as medicine or aviation. Additionally, even large corpora cannot perfectly represent “the entire language,” and decisions about balance may influence findings. Despite these limitations, general corpora remain foundational tools in empirical linguistics.</w:t>
      </w:r>
    </w:p>
    <w:p w14:paraId="3E2D0429" w14:textId="77777777" w:rsidR="00415D32" w:rsidRDefault="00415D32"/>
    <w:p w14:paraId="60056206" w14:textId="77777777" w:rsidR="00415D32" w:rsidRDefault="00000000">
      <w:r>
        <w:t>2. Specialized Corpora</w:t>
      </w:r>
    </w:p>
    <w:p w14:paraId="498E64CF" w14:textId="77777777" w:rsidR="00415D32" w:rsidRDefault="00000000">
      <w:r>
        <w:t>Specialized corpora focus on a specific genre, register, community, discipline, or linguistic feature. Unlike general corpora, they are deliberately narrow in scope so researchers can study targeted phenomena that broader corpora do not capture effectively. Specialized corpora may include academic writing, learner language, legal documents, medical research articles, parliamentary debates, airline communication, social media posts, or even texts produced by a specific age group.</w:t>
      </w:r>
    </w:p>
    <w:p w14:paraId="76BE30DD" w14:textId="77777777" w:rsidR="00415D32" w:rsidRDefault="00415D32"/>
    <w:p w14:paraId="79657C0D" w14:textId="77777777" w:rsidR="00415D32" w:rsidRDefault="00000000">
      <w:r>
        <w:t>One widely studied example is the International Corpus of Learner English (ICLE), which analyzes the writing of advanced learners of English from different first‑language backgrounds. Learner corpora like ICLE are used to identify typical errors, interlanguage patterns, and cross‑linguistic influence. Another example is the Michigan Corpus of Academic Spoken English (MICASE), which contains lectures, seminars, advising sessions, and academic discussions. Its contribution to the study of academic spoken discourse is significant, especially in English for Academic Purposes (EAP).</w:t>
      </w:r>
    </w:p>
    <w:p w14:paraId="455502F9" w14:textId="77777777" w:rsidR="00415D32" w:rsidRDefault="00415D32"/>
    <w:p w14:paraId="695FD4DC" w14:textId="77777777" w:rsidR="00415D32" w:rsidRDefault="00000000">
      <w:r>
        <w:t>Specialized corpora serve many linguistic purposes. Domain‑specific corpora—such as medical corpora—allow researchers to extract technical terminology, examine lexical bundles (e.g., “adverse reaction,” “double‑blind study”), and study discourse practices unique to professional communication. Legal corpora reveal formulaic structures such as “hereinafter referred to as” or “be it enacted,” which rarely appear in general corpora. Corpora of online communication help scholars investigate contemporary features such as emojis, abbreviations, multimodal communication, and internet slang.</w:t>
      </w:r>
    </w:p>
    <w:p w14:paraId="1C75E3ED" w14:textId="77777777" w:rsidR="00415D32" w:rsidRDefault="00415D32"/>
    <w:p w14:paraId="71B5B311" w14:textId="77777777" w:rsidR="00415D32" w:rsidRDefault="00000000">
      <w:r>
        <w:lastRenderedPageBreak/>
        <w:t>In addition to research, specialized corpora play important roles in language teaching. ESP (English for Specific Purposes) instructors rely on such corpora to design authentic, needs‑based materials. Aviation English, for example, uses corpora of pilot‑controller communication to identify common phrasing structures and ensure safety‑critical communication remains standardized and comprehensible.</w:t>
      </w:r>
    </w:p>
    <w:p w14:paraId="62A38750" w14:textId="77777777" w:rsidR="00415D32" w:rsidRDefault="00415D32"/>
    <w:p w14:paraId="368AF6BC" w14:textId="77777777" w:rsidR="00415D32" w:rsidRDefault="00000000">
      <w:r>
        <w:t>Despite their advantages, specialized corpora also have limitations. Their narrow focus means they cannot be generalized to all language use. They may also require considerable effort to compile, especially when collecting spoken data. Nevertheless, their precision makes them indispensable for targeted linguistic analysis.</w:t>
      </w:r>
    </w:p>
    <w:p w14:paraId="0C2848A4" w14:textId="77777777" w:rsidR="00415D32" w:rsidRDefault="00415D32"/>
    <w:p w14:paraId="007773DA" w14:textId="77777777" w:rsidR="00415D32" w:rsidRDefault="00000000">
      <w:r>
        <w:t>3. Parallel Corpora</w:t>
      </w:r>
    </w:p>
    <w:p w14:paraId="01A4357C" w14:textId="77777777" w:rsidR="00415D32" w:rsidRDefault="00000000">
      <w:r>
        <w:t>Parallel corpora are collections of texts aligned with their translations in one or more languages. Alignment may occur at the sentence, paragraph, or phrase level, allowing researchers to study cross‑linguistic equivalence and translation strategies. Parallel corpora differ fundamentally from general and specialized corpora because they enable explicit comparison across languages.</w:t>
      </w:r>
    </w:p>
    <w:p w14:paraId="13A48DDF" w14:textId="77777777" w:rsidR="00415D32" w:rsidRDefault="00415D32"/>
    <w:p w14:paraId="2AE36F5A" w14:textId="77777777" w:rsidR="00415D32" w:rsidRDefault="00000000">
      <w:r>
        <w:t>Some of the most prominent parallel corpora include the Europarl Corpus, composed of proceedings from the European Parliament translated into many languages; the United Nations Parallel Corpus, containing multilingual official documents; and OPUS, a large open‑access collection of translated texts from films, software manuals, news subtitles, conversational data, and more.</w:t>
      </w:r>
    </w:p>
    <w:p w14:paraId="723397E3" w14:textId="77777777" w:rsidR="00415D32" w:rsidRDefault="00415D32"/>
    <w:p w14:paraId="4056CCE6" w14:textId="77777777" w:rsidR="00415D32" w:rsidRDefault="00000000">
      <w:r>
        <w:t>Parallel corpora are extremely valuable in translation studies. They allow scholars to examine how idioms, metaphors, modal verbs, tense‑aspect constructions, and culture‑specific expressions are translated. For instance, comparing English–Uzbek parallel texts can reveal how modal meanings (“must,” “might,” “should”) are conveyed in Uzbek, which relies more on contextual and lexical strategies rather than morphological forms.</w:t>
      </w:r>
    </w:p>
    <w:p w14:paraId="5CFF6526" w14:textId="77777777" w:rsidR="00415D32" w:rsidRDefault="00415D32"/>
    <w:p w14:paraId="4CD85B97" w14:textId="77777777" w:rsidR="00415D32" w:rsidRDefault="00000000">
      <w:r>
        <w:t>Parallel corpora are also essential for developing machine translation (MT) and neural language models. Statistical MT systems rely heavily on parallel corpora for training. More recently, neural translation systems such as Google Translate and DeepL use massive multilingual corpora to create vector representations of meaning. Without parallel data, modern MT tools could not function effectively.</w:t>
      </w:r>
    </w:p>
    <w:p w14:paraId="233E8234" w14:textId="77777777" w:rsidR="00415D32" w:rsidRDefault="00415D32"/>
    <w:p w14:paraId="3015D045" w14:textId="77777777" w:rsidR="00415D32" w:rsidRDefault="00000000">
      <w:r>
        <w:t>However, parallel corpora face several challenges. High‑quality aligned translations are expensive and time‑consuming to obtain. Additionally, translation is not always literal, and parallel corpora sometimes reflect editorial decisions or cultural adjustments rather than direct grammatical equivalences. Even so, parallel corpora remain indispensable in computational linguistics and multilingual research.</w:t>
      </w:r>
    </w:p>
    <w:p w14:paraId="4FE3B691" w14:textId="77777777" w:rsidR="00415D32" w:rsidRDefault="00415D32"/>
    <w:p w14:paraId="6DDFA7CC" w14:textId="77777777" w:rsidR="00415D32" w:rsidRDefault="00000000">
      <w:r>
        <w:t>Comparative Analysis</w:t>
      </w:r>
    </w:p>
    <w:p w14:paraId="3835361F" w14:textId="77777777" w:rsidR="00415D32" w:rsidRDefault="00000000">
      <w:r>
        <w:t>Comparing these three corpus types highlights both their differences and their complementary roles in linguistic research. General corpora provide broad coverage, specialized corpora offer depth in specific domains, and parallel corpora enable multilingual comparison. A researcher studying language change might rely on general corpora; someone analyzing technical medical terminology would turn to specialized corpora; and a translation scholar investigating idiom equivalence would depend on parallel corpora.</w:t>
      </w:r>
    </w:p>
    <w:p w14:paraId="6C6A0439" w14:textId="77777777" w:rsidR="00415D32" w:rsidRDefault="00415D32"/>
    <w:p w14:paraId="3A30EB0E" w14:textId="77777777" w:rsidR="00415D32" w:rsidRDefault="00000000">
      <w:r>
        <w:t>General corpora excel in frequency analysis, norm establishment, and broad linguistic description. Specialized corpora are superior for uncovering domain‑specific features, professional discourse patterns, or learner‑specific errors. Parallel corpora uniquely allow syntactic, semantic, and pragmatic comparisons across languages.</w:t>
      </w:r>
    </w:p>
    <w:p w14:paraId="01B64498" w14:textId="77777777" w:rsidR="00415D32" w:rsidRDefault="00415D32"/>
    <w:p w14:paraId="487219CA" w14:textId="77777777" w:rsidR="00415D32" w:rsidRDefault="00000000">
      <w:r>
        <w:t>In practice, researchers often combine multiple corpus types. A study on medical translation, for example, may begin with a specialized medical corpus to collect domain terminology, then use a parallel corpus to examine how these terms are translated into another language. The complementary nature of corpus types enriches empirical linguistic research and strengthens conclusions.</w:t>
      </w:r>
    </w:p>
    <w:p w14:paraId="5C54386B" w14:textId="77777777" w:rsidR="00415D32" w:rsidRDefault="00415D32"/>
    <w:p w14:paraId="26055024" w14:textId="77777777" w:rsidR="00415D32" w:rsidRDefault="00000000">
      <w:r>
        <w:t>Conclusion</w:t>
      </w:r>
    </w:p>
    <w:p w14:paraId="34E044CE" w14:textId="77777777" w:rsidR="00415D32" w:rsidRDefault="00000000">
      <w:r>
        <w:t>Corpora—whether general, specialized, or parallel—have revolutionized linguistic research and pedagogy by enabling data‑driven analysis of authentic language use. Each corpus type contributes uniquely to our understanding of linguistic structure, variation, and change. General corpora offer comprehensive representations of a language; specialized corpora provide precise insights into particular domains; and parallel corpora facilitate multilingual and translation‑focused research.</w:t>
      </w:r>
    </w:p>
    <w:p w14:paraId="1ABC5081" w14:textId="77777777" w:rsidR="00415D32" w:rsidRDefault="00415D32"/>
    <w:p w14:paraId="45692B25" w14:textId="77777777" w:rsidR="00415D32" w:rsidRDefault="00000000">
      <w:r>
        <w:lastRenderedPageBreak/>
        <w:t>As technology continues to advance, the availability of large, multilingual, multimodal corpora will expand, further empowering scholars, educators, translators, and computational linguists. Understanding corpus types and their functions equips researchers with the tools necessary to select appropriate datasets and conduct rigorous empirical studies.</w:t>
      </w:r>
    </w:p>
    <w:p w14:paraId="6EA912D0" w14:textId="77777777" w:rsidR="00415D32" w:rsidRDefault="00415D32"/>
    <w:p w14:paraId="6743B6BD" w14:textId="77777777" w:rsidR="00415D32" w:rsidRDefault="00000000">
      <w:r>
        <w:t>References (APA Style)</w:t>
      </w:r>
    </w:p>
    <w:p w14:paraId="2BC65032" w14:textId="77777777" w:rsidR="00415D32" w:rsidRDefault="00000000">
      <w:r>
        <w:t>Baker, P. (2006). Using corpora in discourse analysis. Continuum.</w:t>
      </w:r>
    </w:p>
    <w:p w14:paraId="71FF5857" w14:textId="77777777" w:rsidR="00415D32" w:rsidRDefault="00415D32"/>
    <w:p w14:paraId="6BECFB10" w14:textId="77777777" w:rsidR="00415D32" w:rsidRDefault="00000000">
      <w:r>
        <w:t>Biber, D., Conrad, S., &amp; Reppen, R. (1998). Corpus linguistics: Investigating language structure and use. Cambridge University Press.</w:t>
      </w:r>
    </w:p>
    <w:p w14:paraId="7D687F95" w14:textId="77777777" w:rsidR="00415D32" w:rsidRDefault="00415D32"/>
    <w:p w14:paraId="2CF37130" w14:textId="77777777" w:rsidR="00415D32" w:rsidRDefault="00000000">
      <w:r>
        <w:t>Hunston, S. (2002). Corpora in applied linguistics. Cambridge University Press.</w:t>
      </w:r>
    </w:p>
    <w:p w14:paraId="124A143C" w14:textId="77777777" w:rsidR="00415D32" w:rsidRDefault="00415D32"/>
    <w:p w14:paraId="3EF6F473" w14:textId="77777777" w:rsidR="00415D32" w:rsidRDefault="00000000">
      <w:r>
        <w:t>McEnery, T., &amp; Hardie, A. (2012). Corpus linguistics: Method, theory and practice. Cambridge University Press.</w:t>
      </w:r>
    </w:p>
    <w:p w14:paraId="230CB187" w14:textId="77777777" w:rsidR="00415D32" w:rsidRDefault="00415D32"/>
    <w:sectPr w:rsidR="00415D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91984916">
    <w:abstractNumId w:val="8"/>
  </w:num>
  <w:num w:numId="2" w16cid:durableId="1235626951">
    <w:abstractNumId w:val="6"/>
  </w:num>
  <w:num w:numId="3" w16cid:durableId="2017536817">
    <w:abstractNumId w:val="5"/>
  </w:num>
  <w:num w:numId="4" w16cid:durableId="1846088213">
    <w:abstractNumId w:val="4"/>
  </w:num>
  <w:num w:numId="5" w16cid:durableId="965164558">
    <w:abstractNumId w:val="7"/>
  </w:num>
  <w:num w:numId="6" w16cid:durableId="543256693">
    <w:abstractNumId w:val="3"/>
  </w:num>
  <w:num w:numId="7" w16cid:durableId="1195923657">
    <w:abstractNumId w:val="2"/>
  </w:num>
  <w:num w:numId="8" w16cid:durableId="1981837127">
    <w:abstractNumId w:val="1"/>
  </w:num>
  <w:num w:numId="9" w16cid:durableId="111749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5D32"/>
    <w:rsid w:val="008E292C"/>
    <w:rsid w:val="00AA1D8D"/>
    <w:rsid w:val="00B251F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B8ED6"/>
  <w14:defaultImageDpi w14:val="300"/>
  <w15:docId w15:val="{F06B7098-C1ED-C64D-A1BD-B0DD67744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1485</Words>
  <Characters>8471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Гость</cp:lastModifiedBy>
  <cp:revision>2</cp:revision>
  <dcterms:created xsi:type="dcterms:W3CDTF">2013-12-23T23:15:00Z</dcterms:created>
  <dcterms:modified xsi:type="dcterms:W3CDTF">2025-12-04T06:19:00Z</dcterms:modified>
  <cp:category/>
</cp:coreProperties>
</file>