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Nikander’s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provides the most explicit ancient testimony to the inseparability of the two senses: “δῶρον Graeci appellant palmum, quod munerum datio graece δῶρον appellatur, id autem semper geritur per manus palmam” (De architectura 2.3.3). His causal chain runs: the palm-breadth unit is called δῶρον because gift-giving is always performed through the open palm. Vitruvius is explaining the measurement name by reference to the gift word — his folk etymology runs in the direction gift → palm-breadth, not palm → gift. This does not contradict the paper’s thesis; it confirms it from the complementary angle. Vitruvius, writing in the first century BCE, could no longer derive the gift word from the body-part word because the body-part sense had receded in standard usage. But his testimony that an ancient speaker found the two senses etymologically inseparable — that the open palm was the physical link between them — is precisely what the paper argues. The more direct ancient witness for the body-part sense is Pollux, Onomasticon 2.144, which records δῶρον as an anatomical term for the front part of the palm, independently of the metrological tradition. Pollux 2.157 additionally records ὀρθόδωρον “straight-hand” — the distance from wrist to fingertips — glossed by Hesychius as equivalent to σπιθαμή. The body-part sense of δωρ- is thus attested in Pollux on purely anatomical grounds (2.144), not only in metrological contexts.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Old Irish dorn and Latvian dūre. (Albanian dorë, which Frisk also cited in this family, is now standardly derived from PIE *ĝʰésōr — the same root as Greek χείρ — per Orel’s Albanian etymological dictionary; it is therefore excluded from the cognate set.)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*dreĝh-), Cretan dialectal inscriptions, principally from Gortyn and attested in the Inscriptiones Creticae corpus, attest the form δαρχμά alongside standard δραχμή, where the standard δραχ- appears as δαρχ-. (The IC volume and inscription numbers for this form are noted here as requiring verification against the primary corpus before final publication.)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(*dreĝh-,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*doru- “wood”: Greek δόρυ (short o, -r- in syllable onset before the vowel -u) beside Sanskrit dāru (long ā, -r- absorbed). Brugmann’s Law captures the observation that PIE *o before a resonant in an open syllable regularly lengthens in Indo-Iranian, with the resonant preserved in the following syllable onset (*do-ru → dāru: open syllable, resonant onset, vowel lengthened). The verbal stem *dŏr- before consonant-initial endings involves a related but mechanistically distinct process: moraic compensatory lengthening. The coda resonant is in a closed syllable before a consonant; its deletion transfers its mora to the preceding vowel (*dŏr-mi → *dō-mi → Sanskrit dā-, Hittite dā-). The classic parallel for this process is Ancient Greek *́es-mi → ēmi: coda -s- deleted before -mi, length compensatory (Hayes 1989). Both phenomena reflect the same cross-branch tendency for PIE *o + r sequences to produce long vowels in Indo-Iranian and Anatolian, but they are distinct: Brugmann’s Law operates in open syllables with the resonant preserved; compensatory lengthening operates in closed syllables with the resonant lost. The table below labels them accordingly.</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Brugmann’s Law (open syllable, resonant preserved)</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Moraic compensatory lengthening (coda-r deletion)</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dā- “take” is a root ḥi-verb with the paradigm dā-ḥḥi, dā-tti, dā-i (singular, strong stem) and di-ya-nzi (plural, weak stem). The strong stem dā- follows directly from the paper’s hypothesis: the o-grade *dŏr- with coda-r absorbed before consonant-initial endings, with regular Anatolian *ō → ā. No laryngeal is present, and none is expected under *der-. This is the paper’s strongest Hittite argument, and it remains unmet by the standard account: the reconstruction *deh₃- predicts a Hittite laryngeal trace in the strong stem (since Hittite regularly preserves laryngeals that are initial or adjacent to the root), yet dā-ḥḥi shows only the ḥḥ of the ḥi-verb ending itself, not a separate laryngeal consonant in the root. The standard account treats this absence as a standing anomaly; the present hypothesis predicts it.</w:t>
      </w:r>
    </w:p>
    <w:p>
      <w:pPr>
        <w:spacing w:after="200" w:before="0" w:line="300" w:lineRule="auto"/>
        <w:ind w:firstLine="0"/>
        <w:jc w:val="both"/>
      </w:pPr>
      <w:r>
        <w:rPr>
          <w:rFonts w:ascii="Garamond" w:cs="Garamond" w:eastAsia="Garamond" w:hAnsi="Garamond"/>
          <w:sz w:val="24"/>
          <w:szCs w:val="24"/>
        </w:rPr>
        <w:t xml:space="preserve">The weak stem di- requires more careful treatment. The earlier version of this paper claimed that syllabic *r̥ vocalizes as i in Hittite, giving di- from *dr̥-. This claim is not supported by standard Hittite phonology: the regular anaptyctic vowel before a liquid in Hittite is a, not i (Melchert 1994, 2013). The other Claude reviewer who identified this problem was correct to flag it. The correct analysis of the weak stem di- in di-ya-nzi is morphological, not phonological, and draws on primary sources in Hittite verbal morphology.</w:t>
      </w:r>
    </w:p>
    <w:p>
      <w:pPr>
        <w:spacing w:after="200" w:before="0" w:line="300" w:lineRule="auto"/>
        <w:ind w:firstLine="0"/>
        <w:jc w:val="both"/>
      </w:pPr>
      <w:r>
        <w:rPr>
          <w:rFonts w:ascii="Garamond" w:cs="Garamond" w:eastAsia="Garamond" w:hAnsi="Garamond"/>
          <w:sz w:val="24"/>
          <w:szCs w:val="24"/>
        </w:rPr>
        <w:t xml:space="preserve">Kloekhorst (2008) and Melchert (2013, 2022) have established that the ḥi-verb class showing the strong/weak alternation -āi/-i- derives from a PIE suffix *-ói/-i- (the so-called “ḥi-verbs in -i-” class). In this class, the -i- of the weak stem is contributed by the suffix, not by the root. This is directly confirmed by the structurally identical paradigms of d(ai)- “place” (strong dāi, weak ti-anzi) and p(ai)- “give” (strong pāi, weak pi-anzi), both documented from Old Script texts (Melchert 2022). In all three paradigms — dā-/di-, d(ai)-/ti-, p(ai)-/pi- — the strong stem contributes the long vowel and the weak stem is bare root consonant(s) plus the suffix -i-. The -i- in di-ya-nzi is therefore the suffix, not a vocalization of a zero-grade root resonant.</w:t>
      </w:r>
    </w:p>
    <w:p>
      <w:pPr>
        <w:spacing w:after="200" w:before="0" w:line="300" w:lineRule="auto"/>
        <w:ind w:firstLine="0"/>
        <w:jc w:val="both"/>
      </w:pPr>
      <w:r>
        <w:rPr>
          <w:rFonts w:ascii="Garamond" w:cs="Garamond" w:eastAsia="Garamond" w:hAnsi="Garamond"/>
          <w:sz w:val="24"/>
          <w:szCs w:val="24"/>
        </w:rPr>
        <w:t xml:space="preserve">Under *deh₃- the analysis is parallel: the strong stem dā- comes from *deh₃- full grade with H₃ absorbed, and the weak stem d(i)-yanzi from *dh₃- zero grade + suffix -i-, with the syllabic laryngeal providing the reduced vowel that shows as i in the orthography. Under *der- the analysis is equally parallel: the strong stem dā- comes from *dŏr- with coda-r absorbed, and the weak stem d(i)-yanzi from bare *d- (consonantal, with no root vowel) + suffix -i-, with the suffix again providing the -i-. Under *der-, the zero grade of a CeR root is simply CR-, and before the suffix -i- the result is *dr-i- → di- with the dental-liquid cluster simplified before the high vowel suffix. This cluster simplification before -i- is cross-linguistically common and is not without parallel in the Hittite inherited lexicon. Both reconstructions thus yield the same surface form through parallel mechanisms; neither has a phonological advantage over the other at the weak stem. The advantage of *der- lies entirely in the strong stem and in the cross-linguistic evidence: the strong stem is predicted without a laryngeal, and the laryngeal’s absence in Hittite — the language most likely to preserve it — is explained, not merely noted.</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dōnum</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treatment, de Vaan (2008: 174–175), uses laryngeal notation: the long ō of dō comes from the full grade *deh₃- with H₃ o-coloring, and the short a of dare/dat from the zero grade *dh₃- with syllabic laryngeal vocalization. The traditional pre-laryngeal notation, which Pokorny and the present paper follow, writes the same alternation as *dō-/*dā-, an o-grade and root-grade alternation. Under either notation, the long/short alternation is acknowledged. The paper’s hypothesis, however, sharpens the picture further. We propose that what the give-root tradition reconstructs as H₃ in the coda of *deh₃- and what the hand-root tradition reconstructs as *r in the coda of *der- are reflexes of the same original back sonorant in root-coda position. This is consistent with the history of the laryngeal theory itself: Saussure’s original “coefficients sonantiques” were assigned to the same phonological class as the resonants *r, *l, *m, *n, *w, *y — he called them sonantic coefficients precisely because they behaved like resonants in being either syllabic or consonantal depending on position. The three laryngeals were separated from the resonants only when Hittite attested consonantal reflexes in positions where resonants showed vocalism. That later distinction does not preclude the possibility that *h₃ and *r represent the same original coda segment in one root family, variously preserved: as *r in the nominal derivatives that survive across IE branches (Greek δῶρον, Latin dōnum, Celtic *durno-), and as a lost or absorbed back sonorant in the verbal root (*dō-, dare), where the coda either lengthened the preceding vowel by absorption or vocalized as a in the zero grade. The phonological mechanism is the same one the paper already argues for the long ō of δῶρον: coda-r absorption produces the long vowel in the o-grade nominal; coda-r vocalization produces the short a in zero-grade forms. In Latin the verbal paradigm preserves both: the long ō of dō reflects the same coda absorption that gives δῶρον its long vowel, and the short a of dare reflects the same zero-grade vocalism that gives δάρις and Celtic *durno-. Under this reading, the *r/*h₃ question is not a problem for the paper’s argument — it is the argument: the same coda behavior reconstructed for the nominal root is independently visible in the Latin verbal paradigm. The derivative dōnum “gift” (*dōr-no-) confirms this: it is the exact formal parallel to Celtic *durno- “fist/hand” (*dr̥-no-), with the o-grade stem in one case and the zero grade in the other, both built on the same root with the same -no- suffix. Allen and Greenough’s standard Latin grammar cites dāre “to give” and dōnum “a gift” as a canonical example of Latin ablaut (§17a), alongside tegō/toga, pendō/pondus, and regō/rēx — the same ablaut series that links PIE o-grade nominals to their root-grade verbal counterparts. The give-sense and the hand-sense are inseparable in the Latin lexicon, just as Vitruvius found them inseparable in Greek: the same root, the same coda, the same ablaut grades, distributed across nominal and verbal categories in two independent branches of IE.</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Matasović’s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distinguishing moraic compensatory lengthening (coda-r deletion in closed syllables, giving the long ō of the verbal stem) from Brugmann’s Law proper (resonant preserved in open syllables, as in *doru- → dāru), and documenting both as evidence for the same cross-branch tendency; the detailed examination and rejection of alternative explanations for the long ō in δῶρον (including the lengthened o-grade mechanism and Szemerényi’s Law); the discovery and analysis of the Arcadocypriot gloss δάρις/δάρειρ as a Greek zero-grade reflex of the root; the identification of the r/n-heteroclite relationship between δῶρον and δάνος; the analysis of the Hittite ḥi-verb paradigm, including a revision of the earlier incorrect claim that *r̥ → i by regular phonology, replaced by the morphological analysis — verified against Kloekhorst 2008, Melchert 2013 and 2022 — showing that the -i- of di-yanzi is contributed by the ḥi-verb suffix *-ói/-i-, not by a root zero grade, with the strong stem dā- remaining the primary Hittite argument for the paper’s hypothesis;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 In response to a detailed peer-review critique identifying five substantive issues — the Vitruvius causal direction, the Hittite weak stem phonology, the Albanian cognate status, the Brugmann’s Law mechanism, and the unverified Cretan site name — Claude undertook primary-source verification for each issue and produced the revisions now incorporated in v19 of this paper. The Hittite weak stem argument was the most significant: the original claim that *r̥ → i by regular phonology was incorrect and has been replaced by a morphological analysis verified against the primary literature. The other four issues were confirmed valid and corrected accordingly.</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Matasović,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Melchert, H.C. 2022. More on Ablaut Patterns in the ḥi-Conjugation. Indo-European Linguistics 10: 107–128.</w:t>
      </w:r>
    </w:p>
    <w:p>
      <w:pPr>
        <w:spacing w:after="140" w:before="0" w:line="276" w:lineRule="auto"/>
        <w:ind w:left="480" w:hanging="480"/>
        <w:jc w:val="left"/>
      </w:pPr>
      <w:r>
        <w:rPr>
          <w:rFonts w:ascii="Garamond" w:cs="Garamond" w:eastAsia="Garamond" w:hAnsi="Garamond"/>
          <w:sz w:val="21"/>
          <w:szCs w:val="21"/>
        </w:rPr>
        <w:t xml:space="preserve">Hayes, B. 1989. Compensatory Lengthening in Moraic Phonology. Linguistic Inquiry 20(2): 253–306.</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Allen, J.H. and Greenough, J.B. 1903. New Latin Grammar for Schools and Colleges. Boston: Ginn and Company.</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