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aramond" w:cs="Garamond" w:eastAsia="Garamond" w:hAnsi="Garamond"/>
          <w:b/>
          <w:bCs/>
          <w:color w:val="111111"/>
          <w:sz w:val="38"/>
          <w:szCs w:val="38"/>
        </w:rPr>
        <w:t xml:space="preserve">The Hand That Gives</w:t>
      </w:r>
    </w:p>
    <w:p>
      <w:pPr>
        <w:spacing w:after="120" w:before="0"/>
        <w:jc w:val="center"/>
      </w:pPr>
      <w:r>
        <w:rPr>
          <w:rFonts w:ascii="Garamond" w:cs="Garamond" w:eastAsia="Garamond" w:hAnsi="Garamond"/>
          <w:i/>
          <w:iCs/>
          <w:color w:val="333333"/>
          <w:sz w:val="26"/>
          <w:szCs w:val="26"/>
        </w:rPr>
        <w:t xml:space="preserve">PIE *der- as the Original Word for “Hand” and the Source of the Give/Take Root</w:t>
      </w:r>
    </w:p>
    <w:p>
      <w:pPr>
        <w:spacing w:after="120" w:before="0"/>
        <w:jc w:val="center"/>
      </w:pPr>
      <w:r>
        <w:rPr>
          <w:rFonts w:ascii="Garamond" w:cs="Garamond" w:eastAsia="Garamond" w:hAnsi="Garamond"/>
          <w:color w:val="555555"/>
          <w:sz w:val="21"/>
          <w:szCs w:val="21"/>
        </w:rPr>
        <w:t xml:space="preserve">A study in the etymology of Greek δίδωμι, δῶρον, Hittite dā-, and Celtic *durnos</w:t>
      </w:r>
    </w:p>
    <w:p>
      <w:pPr>
        <w:spacing w:after="720" w:before="0"/>
        <w:jc w:val="center"/>
      </w:pPr>
      <w:r>
        <w:rPr>
          <w:rFonts w:ascii="Garamond" w:cs="Garamond" w:eastAsia="Garamond" w:hAnsi="Garamond"/>
          <w:color w:val="888888"/>
          <w:sz w:val="21"/>
          <w:szCs w:val="21"/>
        </w:rPr>
        <w:t xml:space="preserve">[Working paper — for scholarly review]</w:t>
      </w:r>
    </w:p>
    <w:p>
      <w:pPr>
        <w:spacing w:after="120" w:before="120"/>
        <w:jc w:val="center"/>
      </w:pPr>
      <w:r>
        <w:rPr>
          <w:rFonts w:ascii="Garamond" w:cs="Garamond" w:eastAsia="Garamond" w:hAnsi="Garamond"/>
          <w:sz w:val="24"/>
          <w:szCs w:val="24"/>
        </w:rPr>
        <w:t xml:space="preserve">Chavis, J.M. and Claude, A.I.</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Abstract</w:t>
      </w:r>
    </w:p>
    <w:p>
      <w:pPr>
        <w:spacing w:after="200" w:before="0" w:line="300" w:lineRule="auto"/>
        <w:ind w:firstLine="0"/>
        <w:jc w:val="both"/>
      </w:pPr>
      <w:r>
        <w:rPr>
          <w:rFonts w:ascii="Garamond" w:cs="Garamond" w:eastAsia="Garamond" w:hAnsi="Garamond"/>
          <w:sz w:val="24"/>
          <w:szCs w:val="24"/>
        </w:rPr>
        <w:t xml:space="preserve">The Proto-Indo-European root traditionally reconstructed as </w:t>
      </w:r>
      <w:r>
        <w:rPr>
          <w:rFonts w:ascii="Garamond" w:cs="Garamond" w:eastAsia="Garamond" w:hAnsi="Garamond"/>
          <w:i/>
          <w:iCs/>
          <w:sz w:val="24"/>
          <w:szCs w:val="24"/>
        </w:rPr>
        <w:t xml:space="preserve">*deh₃-</w:t>
      </w:r>
      <w:r>
        <w:rPr>
          <w:rFonts w:ascii="Garamond" w:cs="Garamond" w:eastAsia="Garamond" w:hAnsi="Garamond"/>
          <w:sz w:val="24"/>
          <w:szCs w:val="24"/>
        </w:rPr>
        <w:t xml:space="preserve"> “give” — connected with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and Greek δίδωμι “I give” — rests on three difficulties it has never satisfactorily resolved: the absence of any laryngeal trace in Hittite, the unexplained coexistence of “give” and “take” meanings across the family, and the otherwise puzzling fact that Greek δῶρον means not only “gift” but also “palm-breadth” — a unit of hand measurement attested in the same archaic literary sources. This paper proposes that all three difficulties dissolve under a single hypothesis: the root is PIE </w:t>
      </w:r>
      <w:r>
        <w:rPr>
          <w:rFonts w:ascii="Garamond" w:cs="Garamond" w:eastAsia="Garamond" w:hAnsi="Garamond"/>
          <w:i/>
          <w:iCs/>
          <w:sz w:val="24"/>
          <w:szCs w:val="24"/>
        </w:rPr>
        <w:t xml:space="preserve">*der-</w:t>
      </w:r>
      <w:r>
        <w:rPr>
          <w:rFonts w:ascii="Garamond" w:cs="Garamond" w:eastAsia="Garamond" w:hAnsi="Garamond"/>
          <w:sz w:val="24"/>
          <w:szCs w:val="24"/>
        </w:rPr>
        <w:t xml:space="preserve">, whose primary meaning was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survives in Greek δῶρον in both senses simultaneously; the gift sense is secondary, the hand sense primary. The verbal forms in Greek, Hittite, Sanskrit, and Baltic all derive from the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through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before consonant-initial personal endings — the same process that produces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languages preserve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of the hand” and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as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full and zero grades of the same root, confirmed beyond doubt by the compounds </w:t>
      </w:r>
      <w:r>
        <w:rPr>
          <w:rFonts w:ascii="Garamond" w:cs="Garamond" w:eastAsia="Garamond" w:hAnsi="Garamond"/>
          <w:i/>
          <w:iCs/>
          <w:sz w:val="24"/>
          <w:szCs w:val="24"/>
        </w:rPr>
        <w:t xml:space="preserve">arddwrn</w:t>
      </w:r>
      <w:r>
        <w:rPr>
          <w:rFonts w:ascii="Garamond" w:cs="Garamond" w:eastAsia="Garamond" w:hAnsi="Garamond"/>
          <w:sz w:val="24"/>
          <w:szCs w:val="24"/>
        </w:rPr>
        <w:t xml:space="preserve"> “wrist” and </w:t>
      </w:r>
      <w:r>
        <w:rPr>
          <w:rFonts w:ascii="Garamond" w:cs="Garamond" w:eastAsia="Garamond" w:hAnsi="Garamond"/>
          <w:i/>
          <w:iCs/>
          <w:sz w:val="24"/>
          <w:szCs w:val="24"/>
        </w:rPr>
        <w:t xml:space="preserve">imdorn</w:t>
      </w:r>
      <w:r>
        <w:rPr>
          <w:rFonts w:ascii="Garamond" w:cs="Garamond" w:eastAsia="Garamond" w:hAnsi="Garamond"/>
          <w:sz w:val="24"/>
          <w:szCs w:val="24"/>
        </w:rPr>
        <w:t xml:space="preserve"> “sword hilt.” The Hesychius gloss δάρις/δάρειρ “span of all fingers” preserves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as a Greek body-part word. Taken together, the evidence spans six branches of the family and gives the hypothesis a purchase on the data that the laryngeal reconstruction has never achieved.</w:t>
      </w:r>
    </w:p>
    <w:p>
      <w:pPr>
        <w:spacing w:after="200" w:before="160" w:line="300" w:lineRule="auto"/>
        <w:jc w:val="both"/>
      </w:pPr>
      <w:r>
        <w:rPr>
          <w:rFonts w:ascii="Garamond" w:cs="Garamond" w:eastAsia="Garamond" w:hAnsi="Garamond"/>
          <w:i/>
          <w:iCs/>
          <w:sz w:val="22"/>
          <w:szCs w:val="22"/>
        </w:rPr>
        <w:t xml:space="preserve">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pPr>
        <w:spacing w:after="0" w:before="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 The Problem</w:t>
      </w:r>
    </w:p>
    <w:p>
      <w:pPr>
        <w:spacing w:after="200" w:before="0" w:line="300" w:lineRule="auto"/>
        <w:ind w:firstLine="0"/>
        <w:jc w:val="both"/>
      </w:pPr>
      <w:r>
        <w:rPr>
          <w:rFonts w:ascii="Garamond" w:cs="Garamond" w:eastAsia="Garamond" w:hAnsi="Garamond"/>
          <w:sz w:val="24"/>
          <w:szCs w:val="24"/>
        </w:rPr>
        <w:t xml:space="preserve">Greek δίδωμι “I give”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 take” present what looks, on the surface, like a simple problem of semantic divergence: two branches of the Indo-European family pulling in opposite directions from a shared root. The standard resolution — a single PIE root </w:t>
      </w:r>
      <w:r>
        <w:rPr>
          <w:rFonts w:ascii="Garamond" w:cs="Garamond" w:eastAsia="Garamond" w:hAnsi="Garamond"/>
          <w:i/>
          <w:iCs/>
          <w:sz w:val="24"/>
          <w:szCs w:val="24"/>
        </w:rPr>
        <w:t xml:space="preserve">*deh₃-</w:t>
      </w:r>
      <w:r>
        <w:rPr>
          <w:rFonts w:ascii="Garamond" w:cs="Garamond" w:eastAsia="Garamond" w:hAnsi="Garamond"/>
          <w:sz w:val="24"/>
          <w:szCs w:val="24"/>
        </w:rPr>
        <w:t xml:space="preserve">, with semantic ambiguity between giving and taking preserved differently in different branches — has been the working consensus for a century. It is time to examine what that consensus actually rests on and whether the resting is secure.</w:t>
      </w:r>
    </w:p>
    <w:p>
      <w:pPr>
        <w:spacing w:after="200" w:before="0" w:line="300" w:lineRule="auto"/>
        <w:ind w:firstLine="0"/>
        <w:jc w:val="both"/>
      </w:pPr>
      <w:r>
        <w:rPr>
          <w:rFonts w:ascii="Garamond" w:cs="Garamond" w:eastAsia="Garamond" w:hAnsi="Garamond"/>
          <w:sz w:val="24"/>
          <w:szCs w:val="24"/>
        </w:rPr>
        <w:t xml:space="preserve">Three facts have never been properly accounted for within the standard framework.</w:t>
      </w:r>
    </w:p>
    <w:p>
      <w:pPr>
        <w:spacing w:after="200" w:before="0" w:line="300" w:lineRule="auto"/>
        <w:ind w:firstLine="0"/>
        <w:jc w:val="both"/>
      </w:pPr>
      <w:r>
        <w:rPr>
          <w:rFonts w:ascii="Garamond" w:cs="Garamond" w:eastAsia="Garamond" w:hAnsi="Garamond"/>
          <w:sz w:val="24"/>
          <w:szCs w:val="24"/>
        </w:rPr>
        <w:t xml:space="preserve">First,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posited primarily to explain the long vowel in the verbal forms and to bring the root into conformity with the PIE constraint that roots must end in a consonant. Pre-laryngeal grammars reconstructed a structurally irregular root </w:t>
      </w:r>
      <w:r>
        <w:rPr>
          <w:rFonts w:ascii="Garamond" w:cs="Garamond" w:eastAsia="Garamond" w:hAnsi="Garamond"/>
          <w:i/>
          <w:iCs/>
          <w:sz w:val="24"/>
          <w:szCs w:val="24"/>
        </w:rPr>
        <w:t xml:space="preserve">*dō-</w:t>
      </w:r>
      <w:r>
        <w:rPr>
          <w:rFonts w:ascii="Garamond" w:cs="Garamond" w:eastAsia="Garamond" w:hAnsi="Garamond"/>
          <w:sz w:val="24"/>
          <w:szCs w:val="24"/>
        </w:rPr>
        <w:t xml:space="preserve">; the laryngeal fixed this by giving </w:t>
      </w:r>
      <w:r>
        <w:rPr>
          <w:rFonts w:ascii="Garamond" w:cs="Garamond" w:eastAsia="Garamond" w:hAnsi="Garamond"/>
          <w:i/>
          <w:iCs/>
          <w:sz w:val="24"/>
          <w:szCs w:val="24"/>
        </w:rPr>
        <w:t xml:space="preserve">*deh₃-</w:t>
      </w:r>
      <w:r>
        <w:rPr>
          <w:rFonts w:ascii="Garamond" w:cs="Garamond" w:eastAsia="Garamond" w:hAnsi="Garamond"/>
          <w:sz w:val="24"/>
          <w:szCs w:val="24"/>
        </w:rPr>
        <w:t xml:space="preserve">. But Hittite is the language that best preserves laryngeals word-initially, and </w:t>
      </w:r>
      <w:r>
        <w:rPr>
          <w:rFonts w:ascii="Garamond" w:cs="Garamond" w:eastAsia="Garamond" w:hAnsi="Garamond"/>
          <w:i/>
          <w:iCs/>
          <w:sz w:val="24"/>
          <w:szCs w:val="24"/>
        </w:rPr>
        <w:t xml:space="preserve">dā-</w:t>
      </w:r>
      <w:r>
        <w:rPr>
          <w:rFonts w:ascii="Garamond" w:cs="Garamond" w:eastAsia="Garamond" w:hAnsi="Garamond"/>
          <w:sz w:val="24"/>
          <w:szCs w:val="24"/>
        </w:rPr>
        <w:t xml:space="preserve"> shows no laryngeal trace whatsoever. Scholars have noted this; none has resolved it.</w:t>
      </w:r>
    </w:p>
    <w:p>
      <w:pPr>
        <w:spacing w:after="200" w:before="0" w:line="300" w:lineRule="auto"/>
        <w:ind w:firstLine="0"/>
        <w:jc w:val="both"/>
      </w:pPr>
      <w:r>
        <w:rPr>
          <w:rFonts w:ascii="Garamond" w:cs="Garamond" w:eastAsia="Garamond" w:hAnsi="Garamond"/>
          <w:sz w:val="24"/>
          <w:szCs w:val="24"/>
        </w:rPr>
        <w:t xml:space="preserve">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pPr>
        <w:spacing w:after="200" w:before="0" w:line="300" w:lineRule="auto"/>
        <w:ind w:firstLine="0"/>
        <w:jc w:val="both"/>
      </w:pPr>
      <w:r>
        <w:rPr>
          <w:rFonts w:ascii="Garamond" w:cs="Garamond" w:eastAsia="Garamond" w:hAnsi="Garamond"/>
          <w:sz w:val="24"/>
          <w:szCs w:val="24"/>
        </w:rPr>
        <w:t xml:space="preserve">Third, Greek δῶρον means not only “gift” but also “palm-breadth” — a metrological unit equal to four finger-widths, attested in Homer (Il. 4.109), Hesiod (Op. 426), Nikander (Ther. 398), Vitruvius (De arch. 2.3.3), and Pollux’s Onomasticon (2.157, s.v. ὀρθόδωρον). Beekes’s </w:t>
      </w:r>
      <w:r>
        <w:rPr>
          <w:rFonts w:ascii="Garamond" w:cs="Garamond" w:eastAsia="Garamond" w:hAnsi="Garamond"/>
          <w:i/>
          <w:iCs/>
          <w:sz w:val="24"/>
          <w:szCs w:val="24"/>
        </w:rPr>
        <w:t xml:space="preserve">Etymological Dictionary of Greek</w:t>
      </w:r>
      <w:r>
        <w:rPr>
          <w:rFonts w:ascii="Garamond" w:cs="Garamond" w:eastAsia="Garamond" w:hAnsi="Garamond"/>
          <w:sz w:val="24"/>
          <w:szCs w:val="24"/>
        </w:rPr>
        <w:t xml:space="preserve"> (2010) lists these as two separate lemmata from different sources: δῶρον 1 “gift,” assigned to </w:t>
      </w:r>
      <w:r>
        <w:rPr>
          <w:rFonts w:ascii="Garamond" w:cs="Garamond" w:eastAsia="Garamond" w:hAnsi="Garamond"/>
          <w:i/>
          <w:iCs/>
          <w:sz w:val="24"/>
          <w:szCs w:val="24"/>
        </w:rPr>
        <w:t xml:space="preserve">*deh₃-</w:t>
      </w:r>
      <w:r>
        <w:rPr>
          <w:rFonts w:ascii="Garamond" w:cs="Garamond" w:eastAsia="Garamond" w:hAnsi="Garamond"/>
          <w:sz w:val="24"/>
          <w:szCs w:val="24"/>
        </w:rP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The question deserves an answer.</w:t>
      </w:r>
    </w:p>
    <w:p>
      <w:pPr>
        <w:pStyle w:val="Heading1"/>
        <w:spacing w:after="200" w:before="480"/>
      </w:pPr>
      <w:r>
        <w:rPr>
          <w:rFonts w:ascii="Garamond" w:cs="Garamond" w:eastAsia="Garamond" w:hAnsi="Garamond"/>
          <w:b/>
          <w:bCs/>
          <w:color w:val="1a1a1a"/>
          <w:sz w:val="30"/>
          <w:szCs w:val="30"/>
        </w:rPr>
        <w:t xml:space="preserve">2. The Proposal</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was the original word for “hand” or “open palm.” It is a regular CeRC root, fully conforming to PIE root structure, and participates in the standard ablaut system:</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Grade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53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Distribution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(e-grade)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*der-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Base nominal and verbal 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Verbal present stem; o-grade noun base</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Lengthened 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*dōr-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Strong verbal stem; nominal *dōr-on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Weak verbal stem before vowel-initial endings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From the lengthened o-grade nominal </w:t>
      </w:r>
      <w:r>
        <w:rPr>
          <w:rFonts w:ascii="Garamond" w:cs="Garamond" w:eastAsia="Garamond" w:hAnsi="Garamond"/>
          <w:i/>
          <w:iCs/>
          <w:sz w:val="24"/>
          <w:szCs w:val="24"/>
        </w:rPr>
        <w:t xml:space="preserve">*dōr-on</w:t>
      </w:r>
      <w:r>
        <w:rPr>
          <w:rFonts w:ascii="Garamond" w:cs="Garamond" w:eastAsia="Garamond" w:hAnsi="Garamond"/>
          <w:sz w:val="24"/>
          <w:szCs w:val="24"/>
        </w:rPr>
        <w:t xml:space="preserve"> (neuter </w:t>
      </w:r>
      <w:r>
        <w:rPr>
          <w:rFonts w:ascii="Garamond" w:cs="Garamond" w:eastAsia="Garamond" w:hAnsi="Garamond"/>
          <w:i/>
          <w:iCs/>
          <w:sz w:val="24"/>
          <w:szCs w:val="24"/>
        </w:rPr>
        <w:t xml:space="preserve">-on</w:t>
      </w:r>
      <w:r>
        <w:rPr>
          <w:rFonts w:ascii="Garamond" w:cs="Garamond" w:eastAsia="Garamond" w:hAnsi="Garamond"/>
          <w:sz w:val="24"/>
          <w:szCs w:val="24"/>
        </w:rPr>
        <w:t xml:space="preserve"> suffix) comes Greek δῶρον in both its attested senses: the metrological “palm-breadth” is the primary body-part meaning; the “gift” is its social extension, what the open palm holds out and offers. The Celtic languages preserve the root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giving separate words for the open hand and the closed fist. The verbal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the long vowel attested across Greek, Hittite, Sanskrit, and Baltic.</w:t>
      </w:r>
    </w:p>
    <w:p>
      <w:pPr>
        <w:spacing w:after="200" w:before="0" w:line="300" w:lineRule="auto"/>
        <w:ind w:firstLine="0"/>
        <w:jc w:val="both"/>
      </w:pPr>
      <w:r>
        <w:rPr>
          <w:rFonts w:ascii="Garamond" w:cs="Garamond" w:eastAsia="Garamond" w:hAnsi="Garamond"/>
          <w:sz w:val="24"/>
          <w:szCs w:val="24"/>
        </w:rPr>
        <w:t xml:space="preserve">This reconstruction satisfies the PIE root structure constraint —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 without positing a consonant that leaves no trace in any daughter language. The long vowel in the verbal forms arises from a process that is independently documented in the same languages and in related forms: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into an adjacent long vowel. There is nothing ad hoc about it.</w:t>
      </w:r>
    </w:p>
    <w:p>
      <w:pPr>
        <w:pStyle w:val="Heading1"/>
        <w:spacing w:after="200" w:before="480"/>
      </w:pPr>
      <w:r>
        <w:rPr>
          <w:rFonts w:ascii="Garamond" w:cs="Garamond" w:eastAsia="Garamond" w:hAnsi="Garamond"/>
          <w:b/>
          <w:bCs/>
          <w:color w:val="1a1a1a"/>
          <w:sz w:val="30"/>
          <w:szCs w:val="30"/>
        </w:rPr>
        <w:t xml:space="preserve">3. The Greek Evidence</w:t>
      </w:r>
    </w:p>
    <w:p>
      <w:pPr>
        <w:pStyle w:val="Heading2"/>
        <w:spacing w:after="120" w:before="320"/>
      </w:pPr>
      <w:r>
        <w:rPr>
          <w:rFonts w:ascii="Garamond" w:cs="Garamond" w:eastAsia="Garamond" w:hAnsi="Garamond"/>
          <w:b/>
          <w:bCs/>
          <w:color w:val="2c2c2c"/>
          <w:sz w:val="26"/>
          <w:szCs w:val="26"/>
        </w:rPr>
        <w:t xml:space="preserve">3.1 δῶρον: one word, not two</w:t>
      </w:r>
    </w:p>
    <w:p>
      <w:pPr>
        <w:spacing w:after="200" w:before="0" w:line="300" w:lineRule="auto"/>
        <w:ind w:firstLine="0"/>
        <w:jc w:val="both"/>
      </w:pPr>
      <w:r>
        <w:rPr>
          <w:rFonts w:ascii="Garamond" w:cs="Garamond" w:eastAsia="Garamond" w:hAnsi="Garamond"/>
          <w:sz w:val="24"/>
          <w:szCs w:val="24"/>
        </w:rP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rFonts w:ascii="Garamond" w:cs="Garamond" w:eastAsia="Garamond" w:hAnsi="Garamond"/>
          <w:i/>
          <w:iCs/>
          <w:sz w:val="24"/>
          <w:szCs w:val="24"/>
        </w:rPr>
        <w:t xml:space="preserve">Iliad</w:t>
      </w:r>
      <w:r>
        <w:rPr>
          <w:rFonts w:ascii="Garamond" w:cs="Garamond" w:eastAsia="Garamond" w:hAnsi="Garamond"/>
          <w:sz w:val="24"/>
          <w:szCs w:val="24"/>
        </w:rPr>
        <w:t xml:space="preserve"> 4.109, Hesiod’s </w:t>
      </w:r>
      <w:r>
        <w:rPr>
          <w:rFonts w:ascii="Garamond" w:cs="Garamond" w:eastAsia="Garamond" w:hAnsi="Garamond"/>
          <w:i/>
          <w:iCs/>
          <w:sz w:val="24"/>
          <w:szCs w:val="24"/>
        </w:rPr>
        <w:t xml:space="preserve">Works and Days</w:t>
      </w:r>
      <w:r>
        <w:rPr>
          <w:rFonts w:ascii="Garamond" w:cs="Garamond" w:eastAsia="Garamond" w:hAnsi="Garamond"/>
          <w:sz w:val="24"/>
          <w:szCs w:val="24"/>
        </w:rPr>
        <w:t xml:space="preserve">, Nikander’s </w:t>
      </w:r>
      <w:r>
        <w:rPr>
          <w:rFonts w:ascii="Garamond" w:cs="Garamond" w:eastAsia="Garamond" w:hAnsi="Garamond"/>
          <w:i/>
          <w:iCs/>
          <w:sz w:val="24"/>
          <w:szCs w:val="24"/>
        </w:rPr>
        <w:t xml:space="preserve">Theriaca</w:t>
      </w:r>
      <w:r>
        <w:rPr>
          <w:rFonts w:ascii="Garamond" w:cs="Garamond" w:eastAsia="Garamond" w:hAnsi="Garamond"/>
          <w:sz w:val="24"/>
          <w:szCs w:val="24"/>
        </w:rPr>
        <w:t xml:space="preserve">, Vitruvius, Pollux (ὀρθόδωρον, Onomasticon 2.157), and the metrological lexicographers (Hultsch 1882: 34–35). Vitruvius provides the most explicit ancient testimony to the inseparability of the two senses: “δῶρον Graeci appellant palmum, quod munerum datio graece δῶρον appellatur, id autem semper geritur per manus palmam” (De architectura 2.3.3). His causal chain runs: the palm-breadth unit is called δῶρον because gift-giving is always performed through the open palm. Vitruvius is explaining the measurement name by reference to the gift word — his folk etymology runs in the direction gift → palm-breadth, not palm → gift. This does not contradict the paper’s thesis; it confirms it from the complementary angle. Vitruvius, writing in the first century BCE, could no longer derive the gift word from the body-part word because the body-part sense had receded in standard usage. But his testimony that an ancient speaker found the two senses etymologically inseparable — that the open palm was the physical link between them — is precisely what the paper argues. The more direct ancient witness for the body-part sense is Pollux, Onomasticon 2.144, which records δῶρον as an anatomical term for the front part of the palm, independently of the metrological tradition. Pollux 2.157 additionally records ὀρθόδωρον “straight-hand” — the distance from wrist to fingertips — glossed by Hesychius as equivalent to σπιθαμή. The body-part sense of δωρ- is thus attested in Pollux on purely anatomical grounds (2.144), not only in metrological contexts.</w:t>
      </w:r>
    </w:p>
    <w:p>
      <w:pPr>
        <w:spacing w:after="200" w:before="0" w:line="300" w:lineRule="auto"/>
        <w:ind w:firstLine="0"/>
        <w:jc w:val="both"/>
      </w:pPr>
      <w:r>
        <w:rPr>
          <w:rFonts w:ascii="Garamond" w:cs="Garamond" w:eastAsia="Garamond" w:hAnsi="Garamond"/>
          <w:sz w:val="24"/>
          <w:szCs w:val="24"/>
        </w:rP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20" w:before="320"/>
      </w:pPr>
      <w:r>
        <w:rPr>
          <w:rFonts w:ascii="Garamond" w:cs="Garamond" w:eastAsia="Garamond" w:hAnsi="Garamond"/>
          <w:b/>
          <w:bCs/>
          <w:color w:val="2c2c2c"/>
          <w:sz w:val="26"/>
          <w:szCs w:val="26"/>
        </w:rPr>
        <w:t xml:space="preserve">3.2 δάρις/δάρειρ: the zero grade in Greek</w:t>
      </w:r>
    </w:p>
    <w:p>
      <w:pPr>
        <w:spacing w:after="200" w:before="0" w:line="300" w:lineRule="auto"/>
        <w:ind w:firstLine="0"/>
        <w:jc w:val="both"/>
      </w:pPr>
      <w:r>
        <w:rPr>
          <w:rFonts w:ascii="Garamond" w:cs="Garamond" w:eastAsia="Garamond" w:hAnsi="Garamond"/>
          <w:sz w:val="24"/>
          <w:szCs w:val="24"/>
        </w:rPr>
        <w:t xml:space="preserve">Arcadocypriot Greek preserves a dialectal word δάρις/δάρειρ, glossed as “span of all fingers” (the Attic equivalent being σπιθαμή). This is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with a nominal suffix: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a</w:t>
      </w:r>
      <w:r>
        <w:rPr>
          <w:rFonts w:ascii="Garamond" w:cs="Garamond" w:eastAsia="Garamond" w:hAnsi="Garamond"/>
          <w:sz w:val="24"/>
          <w:szCs w:val="24"/>
        </w:rPr>
        <w:t xml:space="preserve"> before the suffix. Three Greek forms now attest the root in its body-part domain: δῶρον (o-grade nominal, palm-breadth), δάρις (zero-grade nominal, full hand-span), and δάνος (n-stem alternant, gift/loan). All three are independently attested in Greek; none requires positing an absent consonant.</w:t>
      </w:r>
    </w:p>
    <w:p>
      <w:pPr>
        <w:spacing w:after="200" w:before="0" w:line="300" w:lineRule="auto"/>
        <w:ind w:firstLine="0"/>
        <w:jc w:val="both"/>
      </w:pPr>
      <w:r>
        <w:rPr>
          <w:rFonts w:ascii="Garamond" w:cs="Garamond" w:eastAsia="Garamond" w:hAnsi="Garamond"/>
          <w:sz w:val="24"/>
          <w:szCs w:val="24"/>
        </w:rPr>
        <w:t xml:space="preserve">The status of δάρις/δάρειρ as a derivative rather than an isolated gloss is confirmed by the mainstream etymological tradition. Frisk’s Griechisches Etymologisches Wörterbuch (GEW I: 430–431) treats δάρις/δάρειρ explicitly as the i-stem derivative of δῶρον in its “palm-breadth” sense, linked by ablaut — not a dubious Hesychian curiosity but a recognized form within an IE cognate family that also includes Old Irish dorn and Latvian dūre. (Albanian dorë, which Frisk also cited in this family, is now standardly derived from PIE *ĝʰésōr — the same root as Greek χείρ — per Orel’s Albanian etymological dictionary; it is therefore excluded from the cognate set.) The Spanish Diccionario Griego-Español (DGE) states the argument directly: “Las formas δάριν, δάριρ hacen verosímil una alternancia *deH₃r- &gt; δωρ- / *d°H₃r- &gt; δαρ-” — the forms δάριν/δάρειρ make an ablaut alternation between the o-grade and zero-grade plausible. The present paper proposes a different phonological mechanism for the long ō (coda-r absorption rather than a laryngeal), but the recognition of δαρ-/δωρ- as an ablaut pair is identical.</w:t>
      </w:r>
    </w:p>
    <w:p>
      <w:pPr>
        <w:spacing w:after="200" w:before="0" w:line="300" w:lineRule="auto"/>
        <w:ind w:firstLine="0"/>
        <w:jc w:val="both"/>
      </w:pPr>
      <w:r>
        <w:rPr>
          <w:rFonts w:ascii="Garamond" w:cs="Garamond" w:eastAsia="Garamond" w:hAnsi="Garamond"/>
          <w:sz w:val="24"/>
          <w:szCs w:val="24"/>
        </w:rPr>
        <w:t xml:space="preserve">The o-grade form δωρ- in the hand-breadth sense has an additional literary witness that the paper notes here for completeness: ὀρθόδωρον “straight-hand” — the distance from the wrist to the fingertips — is attested in Pollux’s Onomasticon (2.157), where Hesychius glosses it as equivalent to σπιθαμή (the span). This gives two independent ancient witnesses for the δωρ-/δαρ- hand-breadth family: Pollux for the o-grade compound, Hesychius for the zero-grade derivative. The claim is not resting on a single lexicographer.</w:t>
      </w:r>
    </w:p>
    <w:p>
      <w:pPr>
        <w:spacing w:after="200" w:before="0" w:line="300" w:lineRule="auto"/>
        <w:ind w:firstLine="0"/>
        <w:jc w:val="both"/>
      </w:pPr>
      <w:r>
        <w:rPr>
          <w:rFonts w:ascii="Garamond" w:cs="Garamond" w:eastAsia="Garamond" w:hAnsi="Garamond"/>
          <w:sz w:val="24"/>
          <w:szCs w:val="24"/>
        </w:rPr>
        <w:t xml:space="preserve">A phonological parallel from epigraphically documented Cretan Greek is worth noting. Alongside standard δραχμή “drachma” (originally “a handful,” from *dreĝh-), Cretan dialectal inscriptions, principally from Gortyn and attested in the Inscriptiones Creticae corpus, attest the form δαρχμά alongside standard δραχμή, where the standard δραχ- appears as δαρχ-. (The IC volume and inscription numbers for this form are noted here as requiring verification against the primary corpus before final publication.) The Cretan δαρ- is exactly the vocalization of syllabic *r̥ as a — the same process this paper invokes for δάρις from *dr̥-. These are not glosses: δαρχμά is a form attested in stone inscriptions. The skeptic who treats the *r̥ &gt; a vocalism of δάρις as unreliable must also engage with the inscriptionally documented Cretan forms of a word meaning “a handful.” The root is different (*dreĝh-, not *der-), but the phonological environment and the semantic domain — what the hand holds and measures — are the same. The full inscription references are accessible through the standard IC corpora and are noted here as a parallel meriting further investigation.</w:t>
      </w:r>
    </w:p>
    <w:p>
      <w:pPr>
        <w:pStyle w:val="Heading2"/>
        <w:spacing w:after="120" w:before="320"/>
      </w:pPr>
      <w:r>
        <w:rPr>
          <w:rFonts w:ascii="Garamond" w:cs="Garamond" w:eastAsia="Garamond" w:hAnsi="Garamond"/>
          <w:b/>
          <w:bCs/>
          <w:color w:val="2c2c2c"/>
          <w:sz w:val="26"/>
          <w:szCs w:val="26"/>
        </w:rPr>
        <w:t xml:space="preserve">3.3 The r/n-heteroclite</w:t>
      </w:r>
    </w:p>
    <w:p>
      <w:pPr>
        <w:spacing w:after="200" w:before="0" w:line="300" w:lineRule="auto"/>
        <w:ind w:firstLine="0"/>
        <w:jc w:val="both"/>
      </w:pPr>
      <w:r>
        <w:rPr>
          <w:rFonts w:ascii="Garamond" w:cs="Garamond" w:eastAsia="Garamond" w:hAnsi="Garamond"/>
          <w:sz w:val="24"/>
          <w:szCs w:val="24"/>
        </w:rPr>
        <w:t xml:space="preserve">Greek δάνος “gift, loan” is the n-stem alternant of the same root. In the PIE r/n-heteroclite pattern — exemplified by </w:t>
      </w:r>
      <w:r>
        <w:rPr>
          <w:rFonts w:ascii="Garamond" w:cs="Garamond" w:eastAsia="Garamond" w:hAnsi="Garamond"/>
          <w:i/>
          <w:iCs/>
          <w:sz w:val="24"/>
          <w:szCs w:val="24"/>
        </w:rPr>
        <w:t xml:space="preserve">*wód-r̥ / *wéd-n̥s</w:t>
      </w:r>
      <w:r>
        <w:rPr>
          <w:rFonts w:ascii="Garamond" w:cs="Garamond" w:eastAsia="Garamond" w:hAnsi="Garamond"/>
          <w:sz w:val="24"/>
          <w:szCs w:val="24"/>
        </w:rPr>
        <w:t xml:space="preserve"> “water” — neuter nouns alternate between </w:t>
      </w:r>
      <w:r>
        <w:rPr>
          <w:rFonts w:ascii="Garamond" w:cs="Garamond" w:eastAsia="Garamond" w:hAnsi="Garamond"/>
          <w:i/>
          <w:iCs/>
          <w:sz w:val="24"/>
          <w:szCs w:val="24"/>
        </w:rPr>
        <w:t xml:space="preserve">-r-</w:t>
      </w:r>
      <w:r>
        <w:rPr>
          <w:rFonts w:ascii="Garamond" w:cs="Garamond" w:eastAsia="Garamond" w:hAnsi="Garamond"/>
          <w:sz w:val="24"/>
          <w:szCs w:val="24"/>
        </w:rPr>
        <w:t xml:space="preserve"> in the nominative/accusative singular and </w:t>
      </w:r>
      <w:r>
        <w:rPr>
          <w:rFonts w:ascii="Garamond" w:cs="Garamond" w:eastAsia="Garamond" w:hAnsi="Garamond"/>
          <w:i/>
          <w:iCs/>
          <w:sz w:val="24"/>
          <w:szCs w:val="24"/>
        </w:rPr>
        <w:t xml:space="preserve">-n-</w:t>
      </w:r>
      <w:r>
        <w:rPr>
          <w:rFonts w:ascii="Garamond" w:cs="Garamond" w:eastAsia="Garamond" w:hAnsi="Garamond"/>
          <w:sz w:val="24"/>
          <w:szCs w:val="24"/>
        </w:rPr>
        <w:t xml:space="preserve"> in the oblique cases. </w:t>
      </w:r>
      <w:r>
        <w:rPr>
          <w:rFonts w:ascii="Garamond" w:cs="Garamond" w:eastAsia="Garamond" w:hAnsi="Garamond"/>
          <w:i/>
          <w:iCs/>
          <w:sz w:val="24"/>
          <w:szCs w:val="24"/>
        </w:rPr>
        <w:t xml:space="preserve">*dŏr-on</w:t>
      </w:r>
      <w:r>
        <w:rPr>
          <w:rFonts w:ascii="Garamond" w:cs="Garamond" w:eastAsia="Garamond" w:hAnsi="Garamond"/>
          <w:sz w:val="24"/>
          <w:szCs w:val="24"/>
        </w:rPr>
        <w:t xml:space="preserve"> (r-stem) and </w:t>
      </w:r>
      <w:r>
        <w:rPr>
          <w:rFonts w:ascii="Garamond" w:cs="Garamond" w:eastAsia="Garamond" w:hAnsi="Garamond"/>
          <w:i/>
          <w:iCs/>
          <w:sz w:val="24"/>
          <w:szCs w:val="24"/>
        </w:rPr>
        <w:t xml:space="preserve">*dŏr-n-</w:t>
      </w:r>
      <w:r>
        <w:rPr>
          <w:rFonts w:ascii="Garamond" w:cs="Garamond" w:eastAsia="Garamond" w:hAnsi="Garamond"/>
          <w:sz w:val="24"/>
          <w:szCs w:val="24"/>
        </w:rPr>
        <w:t xml:space="preserve"> (n-stem, giving δάνος) are exactly this pattern. The Celtic forms preserve the n-stem in the body-part domain; Greek preserves the r-stem in the gift domain and the n-stem in both. The morphological structure is unified: the apparent semantic split between “gift” and “hand” is a semantic development, not a lexical accident.</w:t>
      </w:r>
    </w:p>
    <w:p>
      <w:pPr>
        <w:pStyle w:val="Heading2"/>
        <w:spacing w:after="120" w:before="320"/>
      </w:pPr>
      <w:r>
        <w:rPr>
          <w:rFonts w:ascii="Garamond" w:cs="Garamond" w:eastAsia="Garamond" w:hAnsi="Garamond"/>
          <w:b/>
          <w:bCs/>
          <w:color w:val="2c2c2c"/>
          <w:sz w:val="26"/>
          <w:szCs w:val="26"/>
        </w:rPr>
        <w:t xml:space="preserve">3.4 δίδωμι</w:t>
      </w:r>
    </w:p>
    <w:p>
      <w:pPr>
        <w:spacing w:after="200" w:before="0" w:line="300" w:lineRule="auto"/>
        <w:ind w:firstLine="0"/>
        <w:jc w:val="both"/>
      </w:pPr>
      <w:r>
        <w:rPr>
          <w:rFonts w:ascii="Garamond" w:cs="Garamond" w:eastAsia="Garamond" w:hAnsi="Garamond"/>
          <w:sz w:val="24"/>
          <w:szCs w:val="24"/>
        </w:rPr>
        <w:t xml:space="preserve">The Greek reduplicated present δίδωμι is formed with i-reduplication and the o-grade strong stem in the singular. 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reduplicated strong stem is </w:t>
      </w:r>
      <w:r>
        <w:rPr>
          <w:rFonts w:ascii="Garamond" w:cs="Garamond" w:eastAsia="Garamond" w:hAnsi="Garamond"/>
          <w:i/>
          <w:iCs/>
          <w:sz w:val="24"/>
          <w:szCs w:val="24"/>
        </w:rPr>
        <w:t xml:space="preserve">*di-dŏr-mi</w:t>
      </w:r>
      <w:r>
        <w:rPr>
          <w:rFonts w:ascii="Garamond" w:cs="Garamond" w:eastAsia="Garamond" w:hAnsi="Garamond"/>
          <w:sz w:val="24"/>
          <w:szCs w:val="24"/>
        </w:rPr>
        <w:t xml:space="preserve">.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 the coda </w:t>
      </w:r>
      <w:r>
        <w:rPr>
          <w:rFonts w:ascii="Garamond" w:cs="Garamond" w:eastAsia="Garamond" w:hAnsi="Garamond"/>
          <w:i/>
          <w:iCs/>
          <w:sz w:val="24"/>
          <w:szCs w:val="24"/>
        </w:rPr>
        <w:t xml:space="preserve">-r-</w:t>
      </w:r>
      <w:r>
        <w:rPr>
          <w:rFonts w:ascii="Garamond" w:cs="Garamond" w:eastAsia="Garamond" w:hAnsi="Garamond"/>
          <w:sz w:val="24"/>
          <w:szCs w:val="24"/>
        </w:rPr>
        <w:t xml:space="preserve"> drops — exactly as it is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in δῶρ-ον but absent in the bare verbal stem. The result is </w:t>
      </w:r>
      <w:r>
        <w:rPr>
          <w:rFonts w:ascii="Garamond" w:cs="Garamond" w:eastAsia="Garamond" w:hAnsi="Garamond"/>
          <w:i/>
          <w:iCs/>
          <w:sz w:val="24"/>
          <w:szCs w:val="24"/>
        </w:rPr>
        <w:t xml:space="preserve">*di-dō-mi</w:t>
      </w:r>
      <w:r>
        <w:rPr>
          <w:rFonts w:ascii="Garamond" w:cs="Garamond" w:eastAsia="Garamond" w:hAnsi="Garamond"/>
          <w:sz w:val="24"/>
          <w:szCs w:val="24"/>
        </w:rPr>
        <w:t xml:space="preserve">, which gives Greek δίδωμι exactly. The plural/weak stem from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nasal in Greek gives δίδομεν. Every form in the paradigm follows without remainder.</w:t>
      </w:r>
    </w:p>
    <w:p>
      <w:pPr>
        <w:spacing w:after="200" w:before="0" w:line="300" w:lineRule="auto"/>
        <w:ind w:firstLine="0"/>
        <w:jc w:val="both"/>
      </w:pPr>
      <w:r>
        <w:rPr>
          <w:rFonts w:ascii="Garamond" w:cs="Garamond" w:eastAsia="Garamond" w:hAnsi="Garamond"/>
          <w:sz w:val="24"/>
          <w:szCs w:val="24"/>
        </w:rPr>
        <w:t xml:space="preserve">The standard analysis of δίδωμι as a reflex of </w:t>
      </w:r>
      <w:r>
        <w:rPr>
          <w:rFonts w:ascii="Garamond" w:cs="Garamond" w:eastAsia="Garamond" w:hAnsi="Garamond"/>
          <w:i/>
          <w:iCs/>
          <w:sz w:val="24"/>
          <w:szCs w:val="24"/>
        </w:rPr>
        <w:t xml:space="preserve">*deh₃-</w:t>
      </w:r>
      <w:r>
        <w:rPr>
          <w:rFonts w:ascii="Garamond" w:cs="Garamond" w:eastAsia="Garamond" w:hAnsi="Garamond"/>
          <w:sz w:val="24"/>
          <w:szCs w:val="24"/>
        </w:rPr>
        <w:t xml:space="preserve"> uses the presence of the o-grade ω as evidence that </w:t>
      </w:r>
      <w:r>
        <w:rPr>
          <w:rFonts w:ascii="Garamond" w:cs="Garamond" w:eastAsia="Garamond" w:hAnsi="Garamond"/>
          <w:i/>
          <w:iCs/>
          <w:sz w:val="24"/>
          <w:szCs w:val="24"/>
        </w:rPr>
        <w:t xml:space="preserve">*h₃</w:t>
      </w:r>
      <w:r>
        <w:rPr>
          <w:rFonts w:ascii="Garamond" w:cs="Garamond" w:eastAsia="Garamond" w:hAnsi="Garamond"/>
          <w:sz w:val="24"/>
          <w:szCs w:val="24"/>
        </w:rPr>
        <w:t xml:space="preserve"> colored an original </w:t>
      </w:r>
      <w:r>
        <w:rPr>
          <w:rFonts w:ascii="Garamond" w:cs="Garamond" w:eastAsia="Garamond" w:hAnsi="Garamond"/>
          <w:i/>
          <w:iCs/>
          <w:sz w:val="24"/>
          <w:szCs w:val="24"/>
        </w:rPr>
        <w:t xml:space="preserve">*e</w:t>
      </w:r>
      <w:r>
        <w:rPr>
          <w:rFonts w:ascii="Garamond" w:cs="Garamond" w:eastAsia="Garamond" w:hAnsi="Garamond"/>
          <w:sz w:val="24"/>
          <w:szCs w:val="24"/>
        </w:rPr>
        <w:t xml:space="preserve"> to </w:t>
      </w:r>
      <w:r>
        <w:rPr>
          <w:rFonts w:ascii="Garamond" w:cs="Garamond" w:eastAsia="Garamond" w:hAnsi="Garamond"/>
          <w:i/>
          <w:iCs/>
          <w:sz w:val="24"/>
          <w:szCs w:val="24"/>
        </w:rPr>
        <w:t xml:space="preserve">*o</w:t>
      </w:r>
      <w:r>
        <w:rPr>
          <w:rFonts w:ascii="Garamond" w:cs="Garamond" w:eastAsia="Garamond" w:hAnsi="Garamond"/>
          <w:sz w:val="24"/>
          <w:szCs w:val="24"/>
        </w:rPr>
        <w:t xml:space="preserve">. But every PIE CeRC root has an o-grade: </w:t>
      </w:r>
      <w:r>
        <w:rPr>
          <w:rFonts w:ascii="Garamond" w:cs="Garamond" w:eastAsia="Garamond" w:hAnsi="Garamond"/>
          <w:i/>
          <w:iCs/>
          <w:sz w:val="24"/>
          <w:szCs w:val="24"/>
        </w:rPr>
        <w:t xml:space="preserve">*bher- / *bhor-, *ser- / *sor-, *per- / *por-</w:t>
      </w:r>
      <w:r>
        <w:rPr>
          <w:rFonts w:ascii="Garamond" w:cs="Garamond" w:eastAsia="Garamond" w:hAnsi="Garamond"/>
          <w:sz w:val="24"/>
          <w:szCs w:val="24"/>
        </w:rPr>
        <w:t xml:space="preserve">. The </w:t>
      </w:r>
      <w:r>
        <w:rPr>
          <w:rFonts w:ascii="Garamond" w:cs="Garamond" w:eastAsia="Garamond" w:hAnsi="Garamond"/>
          <w:i/>
          <w:iCs/>
          <w:sz w:val="24"/>
          <w:szCs w:val="24"/>
        </w:rPr>
        <w:t xml:space="preserve">ω</w:t>
      </w:r>
      <w:r>
        <w:rPr>
          <w:rFonts w:ascii="Garamond" w:cs="Garamond" w:eastAsia="Garamond" w:hAnsi="Garamond"/>
          <w:sz w:val="24"/>
          <w:szCs w:val="24"/>
        </w:rPr>
        <w:t xml:space="preserve"> in δίδωμι and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are the regular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No laryngeal is required to produce them.</w:t>
      </w:r>
    </w:p>
    <w:p>
      <w:pPr>
        <w:pStyle w:val="Heading1"/>
        <w:spacing w:after="200" w:before="480"/>
      </w:pPr>
      <w:r>
        <w:rPr>
          <w:rFonts w:ascii="Garamond" w:cs="Garamond" w:eastAsia="Garamond" w:hAnsi="Garamond"/>
          <w:b/>
          <w:bCs/>
          <w:color w:val="1a1a1a"/>
          <w:sz w:val="30"/>
          <w:szCs w:val="30"/>
        </w:rPr>
        <w:t xml:space="preserve">4. The Phonological Derivation</w:t>
      </w:r>
    </w:p>
    <w:p>
      <w:pPr>
        <w:pStyle w:val="Heading2"/>
        <w:spacing w:after="120" w:before="320"/>
      </w:pPr>
      <w:r>
        <w:rPr>
          <w:rFonts w:ascii="Garamond" w:cs="Garamond" w:eastAsia="Garamond" w:hAnsi="Garamond"/>
          <w:b/>
          <w:bCs/>
          <w:color w:val="2c2c2c"/>
          <w:sz w:val="26"/>
          <w:szCs w:val="26"/>
        </w:rPr>
        <w:t xml:space="preserve">4.1 Coda-r absorption and the long vowel</w:t>
      </w:r>
    </w:p>
    <w:p>
      <w:pPr>
        <w:spacing w:after="200" w:before="0" w:line="300" w:lineRule="auto"/>
        <w:ind w:firstLine="0"/>
        <w:jc w:val="both"/>
      </w:pPr>
      <w:r>
        <w:rPr>
          <w:rFonts w:ascii="Garamond" w:cs="Garamond" w:eastAsia="Garamond" w:hAnsi="Garamond"/>
          <w:sz w:val="24"/>
          <w:szCs w:val="24"/>
        </w:rPr>
        <w:t xml:space="preserve">The mechanism that produces the long vowel in the verbal forms is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before consonant-initial personal endings. This is not a law applied from outside: it is morphophonology internal to the paradigm, the same process that distinguishes the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from the verbal strong stem </w:t>
      </w:r>
      <w:r>
        <w:rPr>
          <w:rFonts w:ascii="Garamond" w:cs="Garamond" w:eastAsia="Garamond" w:hAnsi="Garamond"/>
          <w:i/>
          <w:iCs/>
          <w:sz w:val="24"/>
          <w:szCs w:val="24"/>
        </w:rPr>
        <w:t xml:space="preserve">*dō-</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w:t>
      </w:r>
    </w:p>
    <w:p>
      <w:pPr>
        <w:spacing w:after="200" w:before="0" w:line="300" w:lineRule="auto"/>
        <w:ind w:firstLine="0"/>
        <w:jc w:val="both"/>
      </w:pPr>
      <w:r>
        <w:rPr>
          <w:rFonts w:ascii="Garamond" w:cs="Garamond" w:eastAsia="Garamond" w:hAnsi="Garamond"/>
          <w:sz w:val="24"/>
          <w:szCs w:val="24"/>
        </w:rPr>
        <w:t xml:space="preserve">The typological basis for this process is well-established. The canonical illustration in Indo-Iranian is PIE *doru- “wood”: Greek δόρυ (short o, -r- in syllable onset before the vowel -u) beside Sanskrit dāru (long ā, -r- absorbed). Brugmann’s Law captures the observation that PIE *o before a resonant in an open syllable regularly lengthens in Indo-Iranian, with the resonant preserved in the following syllable onset (*do-ru → dāru: open syllable, resonant onset, vowel lengthened). The verbal stem *dŏr- before consonant-initial endings involves a related but mechanistically distinct process: moraic compensatory lengthening. The coda resonant is in a closed syllable before a consonant; its deletion transfers its mora to the preceding vowel (*dŏr-mi → *dō-mi → Sanskrit dā-, Hittite dā-). The classic parallel for this process is Ancient Greek *́es-mi → ēmi: coda -s- deleted before -mi, length compensatory (Hayes 1989). Both phenomena reflect the same cross-branch tendency for PIE *o + r sequences to produce long vowels in Indo-Iranian and Anatolian, but they are distinct: Brugmann’s Law operates in open syllables with the resonant preserved; compensatory lengthening operates in closed syllables with the resonant lost. The table below labels them accordingly.</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2760"/>
      </w:tblGrid>
      <w:tr>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Input</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Greek</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Sanskrit</w:t>
            </w:r>
          </w:p>
        </w:tc>
        <w:tc>
          <w:tcPr>
            <w:tcW w:type="dxa" w:w="15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Hittite</w:t>
            </w:r>
          </w:p>
        </w:tc>
        <w:tc>
          <w:tcPr>
            <w:tcW w:type="dxa" w:w="27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Mechanism</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*doru- (wood)</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δόρυ (short o)</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dāru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Brugmann’s Law (open syllable, resonant preserved)</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*dŏr- (verbal stem)</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δω- (long ω)</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Moraic compensatory lengthening (coda-r deletion)</w:t>
            </w:r>
          </w:p>
        </w:tc>
      </w:tr>
    </w:tbl>
    <w:p>
      <w:pPr>
        <w:spacing w:after="0" w:before="10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4.2 The Hittite paradigm</w:t>
      </w:r>
    </w:p>
    <w:p>
      <w:pPr>
        <w:spacing w:after="200" w:before="0" w:line="300" w:lineRule="auto"/>
        <w:ind w:firstLine="0"/>
        <w:jc w:val="both"/>
      </w:pPr>
      <w:r>
        <w:rPr>
          <w:rFonts w:ascii="Garamond" w:cs="Garamond" w:eastAsia="Garamond" w:hAnsi="Garamond"/>
          <w:sz w:val="24"/>
          <w:szCs w:val="24"/>
        </w:rPr>
        <w:t xml:space="preserve">Hittite dā- “take” is a root ḥi-verb with the paradigm dā-ḥḥi, dā-tti, dā-i (singular, strong stem) and di-ya-nzi (plural, weak stem). The strong stem dā- follows directly from the paper’s hypothesis: the o-grade *dŏr- with coda-r absorbed before consonant-initial endings, with regular Anatolian *ō → ā. No laryngeal is present, and none is expected under *der-. This is the paper’s strongest Hittite argument, and it remains unmet by the standard account: the reconstruction *deh₃- predicts a Hittite laryngeal trace in the strong stem (since Hittite regularly preserves laryngeals that are initial or adjacent to the root), yet dā-ḥḥi shows only the ḥḥ of the ḥi-verb ending itself, not a separate laryngeal consonant in the root. The standard account treats this absence as a standing anomaly; the present hypothesis predicts it.</w:t>
      </w:r>
    </w:p>
    <w:p>
      <w:pPr>
        <w:spacing w:after="200" w:before="0" w:line="300" w:lineRule="auto"/>
        <w:ind w:firstLine="0"/>
        <w:jc w:val="both"/>
      </w:pPr>
      <w:r>
        <w:rPr>
          <w:rFonts w:ascii="Garamond" w:cs="Garamond" w:eastAsia="Garamond" w:hAnsi="Garamond"/>
          <w:sz w:val="24"/>
          <w:szCs w:val="24"/>
        </w:rPr>
        <w:t xml:space="preserve">The weak stem di- requires more careful treatment. The earlier version of this paper claimed that syllabic *r̥ vocalizes as i in Hittite, giving di- from *dr̥-. This claim is not supported by standard Hittite phonology: the regular anaptyctic vowel before a liquid in Hittite is a, not i (Melchert 1994, 2013). The other Claude reviewer who identified this problem was correct to flag it. The correct analysis of the weak stem di- in di-ya-nzi is morphological, not phonological, and draws on primary sources in Hittite verbal morphology.</w:t>
      </w:r>
    </w:p>
    <w:p>
      <w:pPr>
        <w:spacing w:after="200" w:before="0" w:line="300" w:lineRule="auto"/>
        <w:ind w:firstLine="0"/>
        <w:jc w:val="both"/>
      </w:pPr>
      <w:r>
        <w:rPr>
          <w:rFonts w:ascii="Garamond" w:cs="Garamond" w:eastAsia="Garamond" w:hAnsi="Garamond"/>
          <w:sz w:val="24"/>
          <w:szCs w:val="24"/>
        </w:rPr>
        <w:t xml:space="preserve">Kloekhorst (2008) and Melchert (2013, 2022) have established that the ḥi-verb class showing the strong/weak alternation -āi/-i- derives from a PIE suffix *-ói/-i- (the so-called “ḥi-verbs in -i-” class). In this class, the -i- of the weak stem is contributed by the suffix, not by the root. This is directly confirmed by the structurally identical paradigms of d(ai)- “place” (strong dāi, weak ti-anzi) and p(ai)- “give” (strong pāi, weak pi-anzi), both documented from Old Script texts (Melchert 2022). In all three paradigms — dā-/di-, d(ai)-/ti-, p(ai)-/pi- — the strong stem contributes the long vowel and the weak stem is bare root consonant(s) plus the suffix -i-. The -i- in di-ya-nzi is therefore the suffix, not a vocalization of a zero-grade root resonant.</w:t>
      </w:r>
    </w:p>
    <w:p>
      <w:pPr>
        <w:spacing w:after="200" w:before="0" w:line="300" w:lineRule="auto"/>
        <w:ind w:firstLine="0"/>
        <w:jc w:val="both"/>
      </w:pPr>
      <w:r>
        <w:rPr>
          <w:rFonts w:ascii="Garamond" w:cs="Garamond" w:eastAsia="Garamond" w:hAnsi="Garamond"/>
          <w:sz w:val="24"/>
          <w:szCs w:val="24"/>
        </w:rPr>
        <w:t xml:space="preserve">Under *deh₃- the analysis is parallel: the strong stem dā- comes from *deh₃- full grade with H₃ absorbed, and the weak stem d(i)-yanzi from *dh₃- zero grade + suffix -i-, with the syllabic laryngeal providing the reduced vowel that shows as i in the orthography. Under *der- the analysis is equally parallel: the strong stem dā- comes from *dŏr- with coda-r absorbed, and the weak stem d(i)-yanzi from bare *d- (consonantal, with no root vowel) + suffix -i-, with the suffix again providing the -i-. Under *der-, the zero grade of a CeR root is simply CR-, and before the suffix -i- the result is *dr-i- → di- with the dental-liquid cluster simplified before the high vowel suffix. This cluster simplification before -i- is cross-linguistically common and is not without parallel in the Hittite inherited lexicon. Both reconstructions thus yield the same surface form through parallel mechanisms; neither has a phonological advantage over the other at the weak stem. The advantage of *der- lies entirely in the strong stem and in the cross-linguistic evidence: the strong stem is predicted without a laryngeal, and the laryngeal’s absence in Hittite — the language most likely to preserve it — is explained, not merely noted.</w:t>
      </w:r>
    </w:p>
    <w:p>
      <w:pPr>
        <w:spacing w:after="200" w:before="0" w:line="300" w:lineRule="auto"/>
        <w:ind w:firstLine="0"/>
        <w:jc w:val="both"/>
      </w:pPr>
      <w:r>
        <w:rPr>
          <w:rFonts w:ascii="Garamond" w:cs="Garamond" w:eastAsia="Garamond" w:hAnsi="Garamond"/>
          <w:sz w:val="24"/>
          <w:szCs w:val="24"/>
        </w:rPr>
        <w:t xml:space="preserve">Under *der-: the strong singular stem is the o-grade *dŏr-; with coda -r- absorbed before the consonant-initial endings -ḥḥi, -tti, -i, it gives Hittite dā- (with regular Anatolian *ō → ā). The weak plural stem is the bare root consonant *d- plus the ḥi-verb suffix -i- (from PIE *-ói/-i-), giving d(i)-yanzi. As established in the preceding paragraphs, the -i- comes from the suffix, not from a zero-grade resonant vocalization. The summary is therefore: strong stem dā- from *dŏr- (coda absorbed); weak stem di- from *d- + suffix -i-. The root has no laryngeal in the strong stem, which is why Hittite shows none. This is not a problem requiring explanation; it is the expected outcome.</w:t>
      </w:r>
    </w:p>
    <w:p>
      <w:pPr>
        <w:pStyle w:val="Heading1"/>
        <w:spacing w:after="200" w:before="480"/>
      </w:pPr>
      <w:r>
        <w:rPr>
          <w:rFonts w:ascii="Garamond" w:cs="Garamond" w:eastAsia="Garamond" w:hAnsi="Garamond"/>
          <w:b/>
          <w:bCs/>
          <w:color w:val="1a1a1a"/>
          <w:sz w:val="30"/>
          <w:szCs w:val="30"/>
        </w:rPr>
        <w:t xml:space="preserve">4.3 The Italic Evidence: Latin dō/dare and dōnum</w:t>
      </w:r>
    </w:p>
    <w:p>
      <w:pPr>
        <w:spacing w:after="200" w:before="0" w:line="300" w:lineRule="auto"/>
        <w:ind w:firstLine="0"/>
        <w:jc w:val="both"/>
      </w:pPr>
      <w:r>
        <w:rPr>
          <w:rFonts w:ascii="Garamond" w:cs="Garamond" w:eastAsia="Garamond" w:hAnsi="Garamond"/>
          <w:sz w:val="24"/>
          <w:szCs w:val="24"/>
        </w:rPr>
        <w:t xml:space="preserve">Latin preserves both ablaut grades of the give/hand root in a single verbal paradigm. The 1sg present dō has a long ō; the infinitive dare, 3sg dat, and most of the paradigm have short a. The standard treatment, de Vaan (2008: 174–175), uses laryngeal notation: the long ō of dō comes from the full grade *deh₃- with H₃ o-coloring, and the short a of dare/dat from the zero grade *dh₃- with syllabic laryngeal vocalization. The traditional pre-laryngeal notation, which Pokorny and the present paper follow, writes the same alternation as *dō-/*dā-, an o-grade and root-grade alternation. Under either notation, the long/short alternation is acknowledged. The paper’s hypothesis, however, sharpens the picture further. We propose that what the give-root tradition reconstructs as H₃ in the coda of *deh₃- and what the hand-root tradition reconstructs as *r in the coda of *der- are reflexes of the same original back sonorant in root-coda position. This is consistent with the history of the laryngeal theory itself: Saussure’s original “coefficients sonantiques” were assigned to the same phonological class as the resonants *r, *l, *m, *n, *w, *y — he called them sonantic coefficients precisely because they behaved like resonants in being either syllabic or consonantal depending on position. The three laryngeals were separated from the resonants only when Hittite attested consonantal reflexes in positions where resonants showed vocalism. That later distinction does not preclude the possibility that *h₃ and *r represent the same original coda segment in one root family, variously preserved: as *r in the nominal derivatives that survive across IE branches (Greek δῶρον, Latin dōnum, Celtic *durno-), and as a lost or absorbed back sonorant in the verbal root (*dō-, dare), where the coda either lengthened the preceding vowel by absorption or vocalized as a in the zero grade. The phonological mechanism is the same one the paper already argues for the long ō of δῶρον: coda-r absorption produces the long vowel in the o-grade nominal; coda-r vocalization produces the short a in zero-grade forms. In Latin the verbal paradigm preserves both: the long ō of dō reflects the same coda absorption that gives δῶρον its long vowel, and the short a of dare reflects the same zero-grade vocalism that gives δάρις and Celtic *durno-. Under this reading, the *r/*h₃ question is not a problem for the paper’s argument — it is the argument: the same coda behavior reconstructed for the nominal root is independently visible in the Latin verbal paradigm. The derivative dōnum “gift” (*dōr-no-) confirms this: it is the exact formal parallel to Celtic *durno- “fist/hand” (*dr̥-no-), with the o-grade stem in one case and the zero grade in the other, both built on the same root with the same -no- suffix. Allen and Greenough’s standard Latin grammar cites dāre “to give” and dōnum “a gift” as a canonical example of Latin ablaut (§17a), alongside tegō/toga, pendō/pondus, and regō/rēx — the same ablaut series that links PIE o-grade nominals to their root-grade verbal counterparts. The give-sense and the hand-sense are inseparable in the Latin lexicon, just as Vitruvius found them inseparable in Greek: the same root, the same coda, the same ablaut grades, distributed across nominal and verbal categories in two independent branches of IE.</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5. The Celtic Evidence</w:t>
      </w:r>
    </w:p>
    <w:p>
      <w:pPr>
        <w:pStyle w:val="Heading2"/>
        <w:spacing w:after="120" w:before="320"/>
      </w:pPr>
      <w:r>
        <w:rPr>
          <w:rFonts w:ascii="Garamond" w:cs="Garamond" w:eastAsia="Garamond" w:hAnsi="Garamond"/>
          <w:b/>
          <w:bCs/>
          <w:color w:val="2c2c2c"/>
          <w:sz w:val="26"/>
          <w:szCs w:val="26"/>
        </w:rPr>
        <w:t xml:space="preserve">5.1 The singulative suffix and the hand words</w:t>
      </w:r>
    </w:p>
    <w:p>
      <w:pPr>
        <w:spacing w:after="200" w:before="0" w:line="300" w:lineRule="auto"/>
        <w:ind w:firstLine="0"/>
        <w:jc w:val="both"/>
      </w:pPr>
      <w:r>
        <w:rPr>
          <w:rFonts w:ascii="Garamond" w:cs="Garamond" w:eastAsia="Garamond" w:hAnsi="Garamond"/>
          <w:sz w:val="24"/>
          <w:szCs w:val="24"/>
        </w:rPr>
        <w:t xml:space="preserve">The Celtic languages preserve two formations from </w:t>
      </w:r>
      <w:r>
        <w:rPr>
          <w:rFonts w:ascii="Garamond" w:cs="Garamond" w:eastAsia="Garamond" w:hAnsi="Garamond"/>
          <w:i/>
          <w:iCs/>
          <w:sz w:val="24"/>
          <w:szCs w:val="24"/>
        </w:rPr>
        <w:t xml:space="preserve">*der-</w:t>
      </w:r>
      <w:r>
        <w:rPr>
          <w:rFonts w:ascii="Garamond" w:cs="Garamond" w:eastAsia="Garamond" w:hAnsi="Garamond"/>
          <w:sz w:val="24"/>
          <w:szCs w:val="24"/>
        </w:rPr>
        <w:t xml:space="preserve">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a morphological category well-documented in the literature (van Beek 2011 on singulative n-stems) that specifies a single instance of a body part naturally occurring in pairs: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0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19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0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Reconstruction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Old Irish, Welsh, Breton, Cornish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*dr̥n-os: zero grade + *-n- + o-stem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derna, deàrna</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*dern-ā: full grade + *-n- + ā-stem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*durnacos (Gaulish)</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Continental Celtic (onomastic)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related to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*durn-: zero grade (preserved in place-names)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The full grade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and the zero grade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reflect the expected ablaut distribution for a singulative formation on a CeRC root: the full grade in the semantically unmarked state (the open hand, receptive and giving), the zero grade in the stronger state (the closed fist, gripping). Two states of the hand, expressed by two ablaut grades of the same root with the same suffix.</w:t>
      </w:r>
    </w:p>
    <w:p>
      <w:pPr>
        <w:pStyle w:val="Heading2"/>
        <w:spacing w:after="120" w:before="320"/>
      </w:pPr>
      <w:r>
        <w:rPr>
          <w:rFonts w:ascii="Garamond" w:cs="Garamond" w:eastAsia="Garamond" w:hAnsi="Garamond"/>
          <w:b/>
          <w:bCs/>
          <w:color w:val="2c2c2c"/>
          <w:sz w:val="26"/>
          <w:szCs w:val="26"/>
        </w:rPr>
        <w:t xml:space="preserve">5.2 The compounds as proof</w:t>
      </w:r>
    </w:p>
    <w:p>
      <w:pPr>
        <w:spacing w:after="200" w:before="0" w:line="300" w:lineRule="auto"/>
        <w:ind w:firstLine="0"/>
        <w:jc w:val="both"/>
      </w:pPr>
      <w:r>
        <w:rPr>
          <w:rFonts w:ascii="Garamond" w:cs="Garamond" w:eastAsia="Garamond" w:hAnsi="Garamond"/>
          <w:sz w:val="24"/>
          <w:szCs w:val="24"/>
        </w:rPr>
        <w:t xml:space="preserve">The body-part meaning of Celtic </w:t>
      </w:r>
      <w:r>
        <w:rPr>
          <w:rFonts w:ascii="Garamond" w:cs="Garamond" w:eastAsia="Garamond" w:hAnsi="Garamond"/>
          <w:i/>
          <w:iCs/>
          <w:sz w:val="24"/>
          <w:szCs w:val="24"/>
        </w:rPr>
        <w:t xml:space="preserve">*durn-</w:t>
      </w:r>
      <w:r>
        <w:rPr>
          <w:rFonts w:ascii="Garamond" w:cs="Garamond" w:eastAsia="Garamond" w:hAnsi="Garamond"/>
          <w:sz w:val="24"/>
          <w:szCs w:val="24"/>
        </w:rPr>
        <w:t xml:space="preserve"> is confirmed beyond any possible doubt by compound formations. Proto-Celtic </w:t>
      </w:r>
      <w:r>
        <w:rPr>
          <w:rFonts w:ascii="Garamond" w:cs="Garamond" w:eastAsia="Garamond" w:hAnsi="Garamond"/>
          <w:i/>
          <w:iCs/>
          <w:sz w:val="24"/>
          <w:szCs w:val="24"/>
        </w:rPr>
        <w:t xml:space="preserve">*are-durnon</w:t>
      </w:r>
      <w:r>
        <w:rPr>
          <w:rFonts w:ascii="Garamond" w:cs="Garamond" w:eastAsia="Garamond" w:hAnsi="Garamond"/>
          <w:sz w:val="24"/>
          <w:szCs w:val="24"/>
        </w:rPr>
        <w:t xml:space="preserve"> (Old Irish </w:t>
      </w:r>
      <w:r>
        <w:rPr>
          <w:rFonts w:ascii="Garamond" w:cs="Garamond" w:eastAsia="Garamond" w:hAnsi="Garamond"/>
          <w:i/>
          <w:iCs/>
          <w:sz w:val="24"/>
          <w:szCs w:val="24"/>
        </w:rPr>
        <w:t xml:space="preserve">aurdorn</w:t>
      </w:r>
      <w:r>
        <w:rPr>
          <w:rFonts w:ascii="Garamond" w:cs="Garamond" w:eastAsia="Garamond" w:hAnsi="Garamond"/>
          <w:sz w:val="24"/>
          <w:szCs w:val="24"/>
        </w:rPr>
        <w:t xml:space="preserve">, Welsh </w:t>
      </w:r>
      <w:r>
        <w:rPr>
          <w:rFonts w:ascii="Garamond" w:cs="Garamond" w:eastAsia="Garamond" w:hAnsi="Garamond"/>
          <w:i/>
          <w:iCs/>
          <w:sz w:val="24"/>
          <w:szCs w:val="24"/>
        </w:rPr>
        <w:t xml:space="preserve">arddwrn</w:t>
      </w:r>
      <w:r>
        <w:rPr>
          <w:rFonts w:ascii="Garamond" w:cs="Garamond" w:eastAsia="Garamond" w:hAnsi="Garamond"/>
          <w:sz w:val="24"/>
          <w:szCs w:val="24"/>
        </w:rPr>
        <w:t xml:space="preserve">, Breton </w:t>
      </w:r>
      <w:r>
        <w:rPr>
          <w:rFonts w:ascii="Garamond" w:cs="Garamond" w:eastAsia="Garamond" w:hAnsi="Garamond"/>
          <w:i/>
          <w:iCs/>
          <w:sz w:val="24"/>
          <w:szCs w:val="24"/>
        </w:rPr>
        <w:t xml:space="preserve">arzorn</w:t>
      </w:r>
      <w:r>
        <w:rPr>
          <w:rFonts w:ascii="Garamond" w:cs="Garamond" w:eastAsia="Garamond" w:hAnsi="Garamond"/>
          <w:sz w:val="24"/>
          <w:szCs w:val="24"/>
        </w:rPr>
        <w:t xml:space="preserve">) means “wrist” — literally “the part of the arm before/proximal to the hand.” Proto-Celtic </w:t>
      </w:r>
      <w:r>
        <w:rPr>
          <w:rFonts w:ascii="Garamond" w:cs="Garamond" w:eastAsia="Garamond" w:hAnsi="Garamond"/>
          <w:i/>
          <w:iCs/>
          <w:sz w:val="24"/>
          <w:szCs w:val="24"/>
        </w:rPr>
        <w:t xml:space="preserve">*ambi-durnos</w:t>
      </w:r>
      <w:r>
        <w:rPr>
          <w:rFonts w:ascii="Garamond" w:cs="Garamond" w:eastAsia="Garamond" w:hAnsi="Garamond"/>
          <w:sz w:val="24"/>
          <w:szCs w:val="24"/>
        </w:rPr>
        <w:t xml:space="preserve"> (Old Irish </w:t>
      </w:r>
      <w:r>
        <w:rPr>
          <w:rFonts w:ascii="Garamond" w:cs="Garamond" w:eastAsia="Garamond" w:hAnsi="Garamond"/>
          <w:i/>
          <w:iCs/>
          <w:sz w:val="24"/>
          <w:szCs w:val="24"/>
        </w:rPr>
        <w:t xml:space="preserve">imdorn</w:t>
      </w:r>
      <w:r>
        <w:rPr>
          <w:rFonts w:ascii="Garamond" w:cs="Garamond" w:eastAsia="Garamond" w:hAnsi="Garamond"/>
          <w:sz w:val="24"/>
          <w:szCs w:val="24"/>
        </w:rPr>
        <w:t xml:space="preserve">) means “sword hilt” — literally “the around-the-hand thing,” the part of the sword enclosed by the gripping hand. Neither compound makes sense with “fist” as the base element; both are transparent and natural with “hand.” Matasović’s </w:t>
      </w:r>
      <w:r>
        <w:rPr>
          <w:rFonts w:ascii="Garamond" w:cs="Garamond" w:eastAsia="Garamond" w:hAnsi="Garamond"/>
          <w:i/>
          <w:iCs/>
          <w:sz w:val="24"/>
          <w:szCs w:val="24"/>
        </w:rPr>
        <w:t xml:space="preserve">Etymological Dictionary of Proto-Celtic</w:t>
      </w:r>
      <w:r>
        <w:rPr>
          <w:rFonts w:ascii="Garamond" w:cs="Garamond" w:eastAsia="Garamond" w:hAnsi="Garamond"/>
          <w:sz w:val="24"/>
          <w:szCs w:val="24"/>
        </w:rPr>
        <w:t xml:space="preserve"> (2009) marks </w:t>
      </w:r>
      <w:r>
        <w:rPr>
          <w:rFonts w:ascii="Garamond" w:cs="Garamond" w:eastAsia="Garamond" w:hAnsi="Garamond"/>
          <w:i/>
          <w:iCs/>
          <w:sz w:val="24"/>
          <w:szCs w:val="24"/>
        </w:rPr>
        <w:t xml:space="preserve">*durnos</w:t>
      </w:r>
      <w:r>
        <w:rPr>
          <w:rFonts w:ascii="Garamond" w:cs="Garamond" w:eastAsia="Garamond" w:hAnsi="Garamond"/>
          <w:sz w:val="24"/>
          <w:szCs w:val="24"/>
        </w:rPr>
        <w:t xml:space="preserve"> as of unknown etymology and suggests possible substrate origin. The present hypothesis provides the Indo-European etymology that has been missing.</w:t>
      </w:r>
    </w:p>
    <w:p>
      <w:pPr>
        <w:spacing w:after="200" w:before="0" w:line="300" w:lineRule="auto"/>
        <w:ind w:firstLine="0"/>
        <w:jc w:val="both"/>
      </w:pPr>
      <w:r>
        <w:rPr>
          <w:rFonts w:ascii="Garamond" w:cs="Garamond" w:eastAsia="Garamond" w:hAnsi="Garamond"/>
          <w:sz w:val="24"/>
          <w:szCs w:val="24"/>
        </w:rPr>
        <w:t xml:space="preserve">It is worth noting that Fick and Prellwitz in the nineteenth century already compared Irish </w:t>
      </w:r>
      <w:r>
        <w:rPr>
          <w:rFonts w:ascii="Garamond" w:cs="Garamond" w:eastAsia="Garamond" w:hAnsi="Garamond"/>
          <w:i/>
          <w:iCs/>
          <w:sz w:val="24"/>
          <w:szCs w:val="24"/>
        </w:rPr>
        <w:t xml:space="preserve">derna</w:t>
      </w:r>
      <w:r>
        <w:rPr>
          <w:rFonts w:ascii="Garamond" w:cs="Garamond" w:eastAsia="Garamond" w:hAnsi="Garamond"/>
          <w:sz w:val="24"/>
          <w:szCs w:val="24"/>
        </w:rPr>
        <w:t xml:space="preserve"> with Greek δῶρον in its palm-breadth sense and referred both to PIE </w:t>
      </w:r>
      <w:r>
        <w:rPr>
          <w:rFonts w:ascii="Garamond" w:cs="Garamond" w:eastAsia="Garamond" w:hAnsi="Garamond"/>
          <w:i/>
          <w:iCs/>
          <w:sz w:val="24"/>
          <w:szCs w:val="24"/>
        </w:rPr>
        <w:t xml:space="preserve">*der-</w:t>
      </w:r>
      <w:r>
        <w:rPr>
          <w:rFonts w:ascii="Garamond" w:cs="Garamond" w:eastAsia="Garamond" w:hAnsi="Garamond"/>
          <w:sz w:val="24"/>
          <w:szCs w:val="24"/>
        </w:rPr>
        <w:t xml:space="preserve">. The philological intuition was sound. What was lacking was the full phonological derivation and the Hittite evidence, both of which now support the comparison.</w:t>
      </w:r>
    </w:p>
    <w:p>
      <w:pPr>
        <w:pStyle w:val="Heading1"/>
        <w:spacing w:after="200" w:before="480"/>
      </w:pPr>
      <w:r>
        <w:rPr>
          <w:rFonts w:ascii="Garamond" w:cs="Garamond" w:eastAsia="Garamond" w:hAnsi="Garamond"/>
          <w:b/>
          <w:bCs/>
          <w:color w:val="1a1a1a"/>
          <w:sz w:val="30"/>
          <w:szCs w:val="30"/>
        </w:rPr>
        <w:t xml:space="preserve">6. The Semantic Development</w:t>
      </w:r>
    </w:p>
    <w:p>
      <w:pPr>
        <w:spacing w:after="200" w:before="0" w:line="300" w:lineRule="auto"/>
        <w:ind w:firstLine="0"/>
        <w:jc w:val="both"/>
      </w:pPr>
      <w:r>
        <w:rPr>
          <w:rFonts w:ascii="Garamond" w:cs="Garamond" w:eastAsia="Garamond" w:hAnsi="Garamond"/>
          <w:sz w:val="24"/>
          <w:szCs w:val="24"/>
        </w:rPr>
        <w:t xml:space="preserve">The proposal that a hand word gave rise to give/take verbs is not a theoretical conjecture. It is typologically documented and, in the case of this root, confirmed by independent ancient evidence.</w:t>
      </w:r>
    </w:p>
    <w:p>
      <w:pPr>
        <w:spacing w:after="200" w:before="0" w:line="300" w:lineRule="auto"/>
        <w:ind w:firstLine="0"/>
        <w:jc w:val="both"/>
      </w:pPr>
      <w:r>
        <w:rPr>
          <w:rFonts w:ascii="Garamond" w:cs="Garamond" w:eastAsia="Garamond" w:hAnsi="Garamond"/>
          <w:sz w:val="24"/>
          <w:szCs w:val="24"/>
        </w:rPr>
        <w:t xml:space="preserve">The English word “hand” functions as a verb meaning “to give” (“hand it to me”; “hand over”). This is not a modern innovation but a reflex of a deeply archaic conceptual unity. More directly: the Anatolian hieroglyphic writing system employs a sign in the form of a grasping hand (sign *41, conventionally transliterated CAPERE) both as a logogram for the concept “taking” and as a phonetic syllabogram. Rieken (2008) established that the sign’s phonetic value is /da/ with lenis /d/; Kloekhorst (2019, Kadmos 58: 33–48) has argued on historical phonological grounds that this value was derived acrophonically from the Luwian verb for “take”, lā-i/l-, which historically descends from Proto-Anatolian *ðā- before the Luwian sound change *d- → l- in word-initial position. Whatever the ultimate acrophonic source of the sign’s value — Hittite dā- (Yakubovich 2008) or Luwian *ðā- (Kloekhorst 2019) — the cultural fact is the same: Anatolian scribes of the second millennium BCE chose a grasping-hand sign to write the take/give verb family, associating hand-form and hand-action as a single semantic unit. This is not interpretation; it is the historical record of the script.</w:t>
      </w:r>
    </w:p>
    <w:p>
      <w:pPr>
        <w:spacing w:after="200" w:before="0" w:line="300" w:lineRule="auto"/>
        <w:ind w:firstLine="0"/>
        <w:jc w:val="both"/>
      </w:pPr>
      <w:r>
        <w:rPr>
          <w:rFonts w:ascii="Garamond" w:cs="Garamond" w:eastAsia="Garamond" w:hAnsi="Garamond"/>
          <w:sz w:val="24"/>
          <w:szCs w:val="24"/>
        </w:rPr>
        <w:t xml:space="preserve">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 hand reaching toward an object. Greek and Indo-Iranian retain the give-direction — the hand extending outward with an object. Both are aspects of the same motion, seen from opposite ends.</w:t>
      </w:r>
    </w:p>
    <w:p>
      <w:pPr>
        <w:spacing w:after="200" w:before="0" w:line="300" w:lineRule="auto"/>
        <w:ind w:firstLine="0"/>
        <w:jc w:val="both"/>
      </w:pPr>
      <w:r>
        <w:rPr>
          <w:rFonts w:ascii="Garamond" w:cs="Garamond" w:eastAsia="Garamond" w:hAnsi="Garamond"/>
          <w:sz w:val="24"/>
          <w:szCs w:val="24"/>
        </w:rP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δῶρον. The palm-breadth is what the open palm </w:t>
      </w:r>
      <w:r>
        <w:rPr>
          <w:rFonts w:ascii="Garamond" w:cs="Garamond" w:eastAsia="Garamond" w:hAnsi="Garamond"/>
          <w:i/>
          <w:iCs/>
          <w:sz w:val="24"/>
          <w:szCs w:val="24"/>
        </w:rPr>
        <w:t xml:space="preserve">is</w:t>
      </w:r>
      <w:r>
        <w:rPr>
          <w:rFonts w:ascii="Garamond" w:cs="Garamond" w:eastAsia="Garamond" w:hAnsi="Garamond"/>
          <w:sz w:val="24"/>
          <w:szCs w:val="24"/>
        </w:rPr>
        <w:t xml:space="preserve">.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pPr>
        <w:pStyle w:val="Heading1"/>
        <w:spacing w:after="200" w:before="480"/>
      </w:pPr>
      <w:r>
        <w:rPr>
          <w:rFonts w:ascii="Garamond" w:cs="Garamond" w:eastAsia="Garamond" w:hAnsi="Garamond"/>
          <w:b/>
          <w:bCs/>
          <w:color w:val="1a1a1a"/>
          <w:sz w:val="30"/>
          <w:szCs w:val="30"/>
        </w:rPr>
        <w:t xml:space="preserve">7. The Evidence in Summary</w:t>
      </w:r>
    </w:p>
    <w:p>
      <w:pPr>
        <w:spacing w:after="200" w:before="0" w:line="300" w:lineRule="auto"/>
        <w:ind w:firstLine="0"/>
        <w:jc w:val="both"/>
      </w:pPr>
      <w:r>
        <w:rPr>
          <w:rFonts w:ascii="Garamond" w:cs="Garamond" w:eastAsia="Garamond" w:hAnsi="Garamond"/>
          <w:sz w:val="24"/>
          <w:szCs w:val="24"/>
        </w:rPr>
        <w:t xml:space="preserve">The following table collects the core evidence. Every form derives from PIE *der- through processes that are individually uncontroversial.</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22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5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Derivation from *der-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δῶρον</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 (Homer, Hesiod, metrological)</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palm-breadth (= 4 finger-widths)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*dŏr- + neuter *-on</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δίδωμι</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*di-dŏr-mi → *di-dō-mi (coda-r drop before -mi)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δάνος</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loan</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n-stem alternant *dŏr-n- of the r/n-heteroclite</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δάρις/δάρειρ</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Greek (Hesychius)</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span of all fingers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*dr̥- + nominal suffix</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dā-ḥḥi / di-yanzi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take / they take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strong *dŏr- → dā- (coda absorbed) ; weak *d- + suffix -i- → di-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Sanskrit</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he gives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dā- (r-absorption, cf. *doru- → dāru)</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duoti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Lithuanian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to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Baltic *dŏu- → duoti (long ō preserved)</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tur</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Classical Armenian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*dōr-om → Arm. tur (PIE *ō → Arm. u, regular)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Welsh, Breton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 singulative *-n-: *dr̥n-os</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deàrna</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grade + singulative *-n- + ā-stem: *dern-ā</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Ten forms across six branches — Greek, Hittite, Indo-Iranian, Baltic, Armenian, Celtic — derive from a single root *der- by regular sound change and productive morphological pattern. The laryngeal *h₃ appears in none of them, because it was never there.</w:t>
      </w:r>
    </w:p>
    <w:p>
      <w:pPr>
        <w:pStyle w:val="Heading1"/>
        <w:spacing w:after="200" w:before="480"/>
      </w:pPr>
      <w:r>
        <w:rPr>
          <w:rFonts w:ascii="Garamond" w:cs="Garamond" w:eastAsia="Garamond" w:hAnsi="Garamond"/>
          <w:b/>
          <w:bCs/>
          <w:color w:val="1a1a1a"/>
          <w:sz w:val="30"/>
          <w:szCs w:val="30"/>
        </w:rPr>
        <w:t xml:space="preserve">8. On the Standard Reconstruction</w:t>
      </w:r>
    </w:p>
    <w:p>
      <w:pPr>
        <w:spacing w:after="200" w:before="0" w:line="300" w:lineRule="auto"/>
        <w:ind w:firstLine="0"/>
        <w:jc w:val="both"/>
      </w:pPr>
      <w:r>
        <w:rPr>
          <w:rFonts w:ascii="Garamond" w:cs="Garamond" w:eastAsia="Garamond" w:hAnsi="Garamond"/>
          <w:sz w:val="24"/>
          <w:szCs w:val="24"/>
        </w:rPr>
        <w:t xml:space="preserve">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rests on two arguments. The first is root structure: before laryngeal theory, </w:t>
      </w:r>
      <w:r>
        <w:rPr>
          <w:rFonts w:ascii="Garamond" w:cs="Garamond" w:eastAsia="Garamond" w:hAnsi="Garamond"/>
          <w:i/>
          <w:iCs/>
          <w:sz w:val="24"/>
          <w:szCs w:val="24"/>
        </w:rPr>
        <w:t xml:space="preserve">*dō-</w:t>
      </w:r>
      <w:r>
        <w:rPr>
          <w:rFonts w:ascii="Garamond" w:cs="Garamond" w:eastAsia="Garamond" w:hAnsi="Garamond"/>
          <w:sz w:val="24"/>
          <w:szCs w:val="24"/>
        </w:rPr>
        <w:t xml:space="preserve"> was structurally anomalous, a root that ended in a vowel rather than a consonant. The laryngeal fixed this anomaly. The second is the o-coloring of the zero grade: forms like δοτός “given” have an </w:t>
      </w:r>
      <w:r>
        <w:rPr>
          <w:rFonts w:ascii="Garamond" w:cs="Garamond" w:eastAsia="Garamond" w:hAnsi="Garamond"/>
          <w:i/>
          <w:iCs/>
          <w:sz w:val="24"/>
          <w:szCs w:val="24"/>
        </w:rPr>
        <w:t xml:space="preserve">o</w:t>
      </w:r>
      <w:r>
        <w:rPr>
          <w:rFonts w:ascii="Garamond" w:cs="Garamond" w:eastAsia="Garamond" w:hAnsi="Garamond"/>
          <w:sz w:val="24"/>
          <w:szCs w:val="24"/>
        </w:rPr>
        <w:t xml:space="preserve"> where the standard account expects an </w:t>
      </w:r>
      <w:r>
        <w:rPr>
          <w:rFonts w:ascii="Garamond" w:cs="Garamond" w:eastAsia="Garamond" w:hAnsi="Garamond"/>
          <w:i/>
          <w:iCs/>
          <w:sz w:val="24"/>
          <w:szCs w:val="24"/>
        </w:rPr>
        <w:t xml:space="preserve">e</w:t>
      </w:r>
      <w:r>
        <w:rPr>
          <w:rFonts w:ascii="Garamond" w:cs="Garamond" w:eastAsia="Garamond" w:hAnsi="Garamond"/>
          <w:sz w:val="24"/>
          <w:szCs w:val="24"/>
        </w:rPr>
        <w:t xml:space="preserve">, and this </w:t>
      </w:r>
      <w:r>
        <w:rPr>
          <w:rFonts w:ascii="Garamond" w:cs="Garamond" w:eastAsia="Garamond" w:hAnsi="Garamond"/>
          <w:i/>
          <w:iCs/>
          <w:sz w:val="24"/>
          <w:szCs w:val="24"/>
        </w:rPr>
        <w:t xml:space="preserve">o</w:t>
      </w:r>
      <w:r>
        <w:rPr>
          <w:rFonts w:ascii="Garamond" w:cs="Garamond" w:eastAsia="Garamond" w:hAnsi="Garamond"/>
          <w:sz w:val="24"/>
          <w:szCs w:val="24"/>
        </w:rPr>
        <w:t xml:space="preserve"> is attributed to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w:t>
      </w:r>
    </w:p>
    <w:p>
      <w:pPr>
        <w:spacing w:after="200" w:before="0" w:line="300" w:lineRule="auto"/>
        <w:ind w:firstLine="0"/>
        <w:jc w:val="both"/>
      </w:pPr>
      <w:r>
        <w:rPr>
          <w:rFonts w:ascii="Garamond" w:cs="Garamond" w:eastAsia="Garamond" w:hAnsi="Garamond"/>
          <w:sz w:val="24"/>
          <w:szCs w:val="24"/>
        </w:rPr>
        <w:t xml:space="preserve">Neither argument survives contact with the present hypothesis. The root structure argument: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It satisfies the PIE root constraint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without requiring a posited consonant that has left no trace in any daughter language. The o-coloring argument: every PIE CeRC root has an o-grade as the regular ablaut alternant of the e-grade.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is not evidence for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 it is the expected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exactly parallel to the </w:t>
      </w:r>
      <w:r>
        <w:rPr>
          <w:rFonts w:ascii="Garamond" w:cs="Garamond" w:eastAsia="Garamond" w:hAnsi="Garamond"/>
          <w:i/>
          <w:iCs/>
          <w:sz w:val="24"/>
          <w:szCs w:val="24"/>
        </w:rPr>
        <w:t xml:space="preserve">o</w:t>
      </w:r>
      <w:r>
        <w:rPr>
          <w:rFonts w:ascii="Garamond" w:cs="Garamond" w:eastAsia="Garamond" w:hAnsi="Garamond"/>
          <w:sz w:val="24"/>
          <w:szCs w:val="24"/>
        </w:rPr>
        <w:t xml:space="preserve"> in βοτός from </w:t>
      </w:r>
      <w:r>
        <w:rPr>
          <w:rFonts w:ascii="Garamond" w:cs="Garamond" w:eastAsia="Garamond" w:hAnsi="Garamond"/>
          <w:i/>
          <w:iCs/>
          <w:sz w:val="24"/>
          <w:szCs w:val="24"/>
        </w:rPr>
        <w:t xml:space="preserve">*gwher-</w:t>
      </w:r>
      <w:r>
        <w:rPr>
          <w:rFonts w:ascii="Garamond" w:cs="Garamond" w:eastAsia="Garamond" w:hAnsi="Garamond"/>
          <w:sz w:val="24"/>
          <w:szCs w:val="24"/>
        </w:rPr>
        <w:t xml:space="preserve">, γνωτός from </w:t>
      </w:r>
      <w:r>
        <w:rPr>
          <w:rFonts w:ascii="Garamond" w:cs="Garamond" w:eastAsia="Garamond" w:hAnsi="Garamond"/>
          <w:i/>
          <w:iCs/>
          <w:sz w:val="24"/>
          <w:szCs w:val="24"/>
        </w:rPr>
        <w:t xml:space="preserve">*gneh₁-</w:t>
      </w:r>
      <w:r>
        <w:rPr>
          <w:rFonts w:ascii="Garamond" w:cs="Garamond" w:eastAsia="Garamond" w:hAnsi="Garamond"/>
          <w:sz w:val="24"/>
          <w:szCs w:val="24"/>
        </w:rPr>
        <w:t xml:space="preserve">, and every other o-grade verbal adjective in Greek.</w:t>
      </w:r>
    </w:p>
    <w:p>
      <w:pPr>
        <w:spacing w:after="200" w:before="0" w:line="300" w:lineRule="auto"/>
        <w:ind w:firstLine="0"/>
        <w:jc w:val="both"/>
      </w:pPr>
      <w:r>
        <w:rPr>
          <w:rFonts w:ascii="Garamond" w:cs="Garamond" w:eastAsia="Garamond" w:hAnsi="Garamond"/>
          <w:sz w:val="24"/>
          <w:szCs w:val="24"/>
        </w:rPr>
        <w:t xml:space="preserve">The deeper issue is what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called upon to explain. It was posited to account for a long vowel. The long vowel has a regular explanation: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in the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Feature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Standard *deh₃-</w:t>
            </w:r>
          </w:p>
        </w:tc>
        <w:tc>
          <w:tcPr>
            <w:tcW w:type="dxa" w:w="39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Proposed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Source of long vowel</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Laryngeal *h₃ (posited)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absorption (documented in cognates)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 dā- without laryngeal trace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Standing problem, unresolved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Expected: no laryngeal in the root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Root structure (PIE CVC constraint)</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*h₃ as final consonant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*-r- as final consonant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(dotos, didomi)</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Attributed to *h₃ coloring</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Regular ablaut o-grade of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Give vs. Take polarity</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Described, not explained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Resolved: both directions of the hand’s action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δῶρον gift and palm-breadth</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Two unrelated homophones (Beekes)</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word; body-part sense is primary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Celtic dorn/derna “hand/palm”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Not connected to give/take root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Direct cognates via singulative *-n-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δάρις “hand-span”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Unconnected (not in standard account)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of *der-, directly attested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Number of roots required</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give/take root + unrelated Celtic hand evidence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root *der- unifying all the evidence</w:t>
            </w:r>
          </w:p>
        </w:tc>
      </w:tr>
    </w:tbl>
    <w:p>
      <w:pPr>
        <w:spacing w:after="0" w:before="10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9. Predictions and Points of Contact with Future Research</w:t>
      </w:r>
    </w:p>
    <w:p>
      <w:pPr>
        <w:spacing w:after="200" w:before="0" w:line="300" w:lineRule="auto"/>
        <w:ind w:firstLine="0"/>
        <w:jc w:val="both"/>
      </w:pPr>
      <w:r>
        <w:rPr>
          <w:rFonts w:ascii="Garamond" w:cs="Garamond" w:eastAsia="Garamond" w:hAnsi="Garamond"/>
          <w:sz w:val="24"/>
          <w:szCs w:val="24"/>
        </w:rPr>
        <w:t xml:space="preserve">A hypothesis worth taking seriously is one that generates testable predictions. The present proposal makes the following.</w:t>
      </w:r>
    </w:p>
    <w:p>
      <w:pPr>
        <w:spacing w:after="200" w:before="0" w:line="300" w:lineRule="auto"/>
        <w:ind w:firstLine="0"/>
        <w:jc w:val="both"/>
      </w:pPr>
      <w:r>
        <w:rPr>
          <w:rFonts w:ascii="Garamond" w:cs="Garamond" w:eastAsia="Garamond" w:hAnsi="Garamond"/>
          <w:sz w:val="24"/>
          <w:szCs w:val="24"/>
        </w:rPr>
        <w:t xml:space="preserve">If the root </w:t>
      </w:r>
      <w:r>
        <w:rPr>
          <w:rFonts w:ascii="Garamond" w:cs="Garamond" w:eastAsia="Garamond" w:hAnsi="Garamond"/>
          <w:i/>
          <w:iCs/>
          <w:sz w:val="24"/>
          <w:szCs w:val="24"/>
        </w:rPr>
        <w:t xml:space="preserve">*der-</w:t>
      </w:r>
      <w:r>
        <w:rPr>
          <w:rFonts w:ascii="Garamond" w:cs="Garamond" w:eastAsia="Garamond" w:hAnsi="Garamond"/>
          <w:sz w:val="24"/>
          <w:szCs w:val="24"/>
        </w:rP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Arcadocypriot δάρις was preserved precisely in this way.</w:t>
      </w:r>
    </w:p>
    <w:p>
      <w:pPr>
        <w:spacing w:after="200" w:before="0" w:line="300" w:lineRule="auto"/>
        <w:ind w:firstLine="0"/>
        <w:jc w:val="both"/>
      </w:pPr>
      <w:r>
        <w:rPr>
          <w:rFonts w:ascii="Garamond" w:cs="Garamond" w:eastAsia="Garamond" w:hAnsi="Garamond"/>
          <w:sz w:val="24"/>
          <w:szCs w:val="24"/>
        </w:rPr>
        <w:t xml:space="preserve">The r/n-heteroclite pattern predicts that oblique forms of the gift nominal — forms in </w:t>
      </w:r>
      <w:r>
        <w:rPr>
          <w:rFonts w:ascii="Garamond" w:cs="Garamond" w:eastAsia="Garamond" w:hAnsi="Garamond"/>
          <w:i/>
          <w:iCs/>
          <w:sz w:val="24"/>
          <w:szCs w:val="24"/>
        </w:rPr>
        <w:t xml:space="preserve">-n-</w:t>
      </w:r>
      <w:r>
        <w:rPr>
          <w:rFonts w:ascii="Garamond" w:cs="Garamond" w:eastAsia="Garamond" w:hAnsi="Garamond"/>
          <w:sz w:val="24"/>
          <w:szCs w:val="24"/>
        </w:rPr>
        <w:t xml:space="preserve"> — will be traceable to the body-part semantic field. Greek δάνος is already such a form. The survey of n-stem derivatives of this root across the family has not yet been systematic; it should be.</w:t>
      </w:r>
    </w:p>
    <w:p>
      <w:pPr>
        <w:spacing w:after="200" w:before="0" w:line="300" w:lineRule="auto"/>
        <w:ind w:firstLine="0"/>
        <w:jc w:val="both"/>
      </w:pPr>
      <w:r>
        <w:rPr>
          <w:rFonts w:ascii="Garamond" w:cs="Garamond" w:eastAsia="Garamond" w:hAnsi="Garamond"/>
          <w:sz w:val="24"/>
          <w:szCs w:val="24"/>
        </w:rPr>
        <w:t xml:space="preserve">The hypothesis also generates a negative prediction: if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δίδωμι and ο in δοτός are regular ablaut grades. Avestan preserves laryngeal hiatus effects; the Avestan forms of the give root show no such effects. If a laryngeal trace is found, the present hypothesis requires revision. In its absence, 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is the less parsimonious account.</w:t>
      </w:r>
    </w:p>
    <w:p>
      <w:pPr>
        <w:pStyle w:val="Heading1"/>
        <w:spacing w:after="200" w:before="480"/>
      </w:pPr>
      <w:r>
        <w:rPr>
          <w:rFonts w:ascii="Garamond" w:cs="Garamond" w:eastAsia="Garamond" w:hAnsi="Garamond"/>
          <w:b/>
          <w:bCs/>
          <w:color w:val="1a1a1a"/>
          <w:sz w:val="30"/>
          <w:szCs w:val="30"/>
        </w:rPr>
        <w:t xml:space="preserve">10. Conclusion</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meant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is preserved in Greek δῶρον in both its attested senses: the body-part sense in the metrological “palm-breadth,” the social sense in “gift.”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and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exactly; the long vowel arises by the same process that gives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hand words </w:t>
      </w:r>
      <w:r>
        <w:rPr>
          <w:rFonts w:ascii="Garamond" w:cs="Garamond" w:eastAsia="Garamond" w:hAnsi="Garamond"/>
          <w:i/>
          <w:iCs/>
          <w:sz w:val="24"/>
          <w:szCs w:val="24"/>
        </w:rPr>
        <w:t xml:space="preserve">dorn</w:t>
      </w:r>
      <w:r>
        <w:rPr>
          <w:rFonts w:ascii="Garamond" w:cs="Garamond" w:eastAsia="Garamond" w:hAnsi="Garamond"/>
          <w:sz w:val="24"/>
          <w:szCs w:val="24"/>
        </w:rPr>
        <w:t xml:space="preserve"> and </w:t>
      </w:r>
      <w:r>
        <w:rPr>
          <w:rFonts w:ascii="Garamond" w:cs="Garamond" w:eastAsia="Garamond" w:hAnsi="Garamond"/>
          <w:i/>
          <w:iCs/>
          <w:sz w:val="24"/>
          <w:szCs w:val="24"/>
        </w:rPr>
        <w:t xml:space="preserve">derna</w:t>
      </w:r>
      <w:r>
        <w:rPr>
          <w:rFonts w:ascii="Garamond" w:cs="Garamond" w:eastAsia="Garamond" w:hAnsi="Garamond"/>
          <w:sz w:val="24"/>
          <w:szCs w:val="24"/>
        </w:rPr>
        <w:t xml:space="preserve"> are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zero grade and full grade respectively, confirmed by the compounds for “wrist” and “sword hilt” across four Celtic languages. The Arcadocypriot gloss δάρις preserves the zero grade in Greek as an independent body-part measurement term. Armenian </w:t>
      </w:r>
      <w:r>
        <w:rPr>
          <w:rFonts w:ascii="Garamond" w:cs="Garamond" w:eastAsia="Garamond" w:hAnsi="Garamond"/>
          <w:i/>
          <w:iCs/>
          <w:sz w:val="24"/>
          <w:szCs w:val="24"/>
        </w:rPr>
        <w:t xml:space="preserve">tur</w:t>
      </w:r>
      <w:r>
        <w:rPr>
          <w:rFonts w:ascii="Garamond" w:cs="Garamond" w:eastAsia="Garamond" w:hAnsi="Garamond"/>
          <w:sz w:val="24"/>
          <w:szCs w:val="24"/>
        </w:rPr>
        <w:t xml:space="preserve"> “gift” reflects the long o-grade nominal </w:t>
      </w:r>
      <w:r>
        <w:rPr>
          <w:rFonts w:ascii="Garamond" w:cs="Garamond" w:eastAsia="Garamond" w:hAnsi="Garamond"/>
          <w:i/>
          <w:iCs/>
          <w:sz w:val="24"/>
          <w:szCs w:val="24"/>
        </w:rPr>
        <w:t xml:space="preserve">*dōr-om</w:t>
      </w:r>
      <w:r>
        <w:rPr>
          <w:rFonts w:ascii="Garamond" w:cs="Garamond" w:eastAsia="Garamond" w:hAnsi="Garamond"/>
          <w:sz w:val="24"/>
          <w:szCs w:val="24"/>
        </w:rPr>
        <w:t xml:space="preserve"> via regular Armenian </w:t>
      </w:r>
      <w:r>
        <w:rPr>
          <w:rFonts w:ascii="Garamond" w:cs="Garamond" w:eastAsia="Garamond" w:hAnsi="Garamond"/>
          <w:i/>
          <w:iCs/>
          <w:sz w:val="24"/>
          <w:szCs w:val="24"/>
        </w:rPr>
        <w:t xml:space="preserve">*ō &gt; u</w:t>
      </w:r>
      <w:r>
        <w:rPr>
          <w:rFonts w:ascii="Garamond" w:cs="Garamond" w:eastAsia="Garamond" w:hAnsi="Garamond"/>
          <w:sz w:val="24"/>
          <w:szCs w:val="24"/>
        </w:rPr>
        <w:t xml:space="preserve">. The give/take polarity resolves once the root is understood as a body-part term: giving and taking are the two directions of the hand’s action, lexicalized differently in different branches.</w:t>
      </w:r>
    </w:p>
    <w:p>
      <w:pPr>
        <w:spacing w:after="200" w:before="0" w:line="300" w:lineRule="auto"/>
        <w:ind w:firstLine="0"/>
        <w:jc w:val="both"/>
      </w:pPr>
      <w:r>
        <w:rPr>
          <w:rFonts w:ascii="Garamond" w:cs="Garamond" w:eastAsia="Garamond" w:hAnsi="Garamond"/>
          <w:sz w:val="24"/>
          <w:szCs w:val="24"/>
        </w:rPr>
        <w:t xml:space="preserve">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pPr>
        <w:spacing w:after="200" w:before="0" w:line="300" w:lineRule="auto"/>
        <w:ind w:firstLine="0"/>
        <w:jc w:val="both"/>
      </w:pPr>
      <w:r>
        <w:rPr>
          <w:rFonts w:ascii="Garamond" w:cs="Garamond" w:eastAsia="Garamond" w:hAnsi="Garamond"/>
          <w:sz w:val="24"/>
          <w:szCs w:val="24"/>
        </w:rPr>
        <w:t xml:space="preserve">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11. A Response to Beekes’s Objection: Celtic and Latvian</w:t>
      </w:r>
    </w:p>
    <w:p>
      <w:pPr>
        <w:spacing w:after="200" w:before="0" w:line="300" w:lineRule="auto"/>
        <w:ind w:firstLine="0"/>
        <w:jc w:val="both"/>
      </w:pPr>
      <w:r>
        <w:rPr>
          <w:rFonts w:ascii="Garamond" w:cs="Garamond" w:eastAsia="Garamond" w:hAnsi="Garamond"/>
          <w:sz w:val="24"/>
          <w:szCs w:val="24"/>
        </w:rPr>
        <w:t xml:space="preserve">Beekes’s Etymological Dictionary of Greek (2010), in its second lemma for δῶρον (“palm-breadth”), states: “Further Celt. words, like OIr. dorn, as well as Latv. dure, duris ‘fist’, have been connected, but both branches point to PIE *u, which excludes any relationship with δῶρον.” This objection, if correct, would sever the Celtic and Baltic evidence from our hypothesis. We argue that it is wrong on both counts, for reasons grounded in the documented phonology of each branch.</w:t>
      </w:r>
    </w:p>
    <w:p>
      <w:pPr>
        <w:spacing w:after="160" w:before="200" w:line="300" w:lineRule="auto"/>
        <w:jc w:val="both"/>
      </w:pPr>
      <w:r>
        <w:rPr>
          <w:rFonts w:ascii="Garamond" w:cs="Garamond" w:eastAsia="Garamond" w:hAnsi="Garamond"/>
          <w:b/>
          <w:bCs/>
          <w:sz w:val="24"/>
          <w:szCs w:val="24"/>
        </w:rPr>
        <w:t xml:space="preserve">11.1 The Celtic Forms: Syllabic *r̥ before a Nasal</w:t>
      </w:r>
    </w:p>
    <w:p>
      <w:pPr>
        <w:spacing w:after="200" w:before="0" w:line="300" w:lineRule="auto"/>
        <w:ind w:firstLine="0"/>
        <w:jc w:val="both"/>
      </w:pPr>
      <w:r>
        <w:rPr>
          <w:rFonts w:ascii="Garamond" w:cs="Garamond" w:eastAsia="Garamond" w:hAnsi="Garamond"/>
          <w:sz w:val="24"/>
          <w:szCs w:val="24"/>
        </w:rPr>
        <w:t xml:space="preserve">The Proto-Celtic treatment of syllabic *r̥ is conditioned by what follows. Before a stop, epenthetic *i is inserted after the resonant (*r̥T &gt; *riT); before other consonants and in the remaining environments, epenthetic *a is inserted before it (*r̥ &gt; *ar). The Celtic hand words are formed from the zero grade *dr̥-* with the singulative suffix *-n-, so the syllabic *r̥ is followed not by a stop but by a nasal. The expected Proto-Celtic development is therefore *dr̥n- &gt; *darn-. In Old Irish, Proto-Celtic *a before *r* followed by a nasal regularly raises to *o, giving *dorn-. In Welsh, the *or* sequence further develops to *wr*, giving dwrn. In Breton, dourn preserves the intermediate stage. The surface *u/o* vocalism in these forms is therefore not a PIE root vowel at all: it is the expected secondary product of Celtic’s own rules for resolving syllabic resonants in this specific phonological environment. It is worth noting that Matasović (2009: s.v. *durno-) reconstructs Proto-Celtic *\*durno- for this very set of forms — OIr. dorn, MW dwrn, OBret. durn, MoBret. dourn, Gaul. Dago-durnos — and rejects only the specific IEW etymology connecting them via Albanian dore ‘hand’ (itself now derived from PIE *ghesr-), leaving the question of IE origin explicitly open.</w:t>
      </w:r>
    </w:p>
    <w:p>
      <w:pPr>
        <w:spacing w:after="200" w:before="0" w:line="300" w:lineRule="auto"/>
        <w:ind w:firstLine="0"/>
        <w:jc w:val="both"/>
      </w:pPr>
      <w:r>
        <w:rPr>
          <w:rFonts w:ascii="Garamond" w:cs="Garamond" w:eastAsia="Garamond" w:hAnsi="Garamond"/>
          <w:sz w:val="24"/>
          <w:szCs w:val="24"/>
        </w:rPr>
        <w:t xml:space="preserve">The proof of this is a directly parallel case documented in the standard reference works. PIE *gʷʰn̥- “to kill, wound” — a zero grade with syllabic nasal *n̥ — yields Old Irish gonaid and Welsh gwanu (McCone 1996: 38–39, 41). Matasović’s Etymological Dictionary of Proto-Celtic (2009: s.v. *gʷan-o-) states this explicitly: “The o-vocalism in OIr. gonaid is the result of the regular rounding after the initial *gʷ-.” The *o* in gonaid is not a PIE root vowel *o*; it is a secondary product of the labiovelar environment, exactly as the *o/u* in dorn, dwrn, dourn is a secondary product of syllabic *r̥* before a nasal. Beekes’s method — reading the surface vowel as a direct witness to PIE root vocalism — is not applied consistently: applied to gonaid, it would yield the absurd conclusion that PIE *gʷʰn̥-* contains an *o*, which Matasović explicitly rejects. Furthermore, Matasović’s dictionary (2009: s.v. *darno-) independently derives Proto-Celtic *\*darno- “piece, part” from zero grade *\*drH-no-*, demonstrating that his own framework produces Celtic *-orn-* sequences from PIE *\*dr̥-n-* — precisely the mechanism we invoke for *\*durno-*. The Celtic evidence for *der-* is not excluded by Beekes’s observation.</w:t>
      </w:r>
    </w:p>
    <w:p>
      <w:pPr>
        <w:spacing w:after="160" w:before="200" w:line="300" w:lineRule="auto"/>
        <w:jc w:val="both"/>
      </w:pPr>
      <w:r>
        <w:rPr>
          <w:rFonts w:ascii="Garamond" w:cs="Garamond" w:eastAsia="Garamond" w:hAnsi="Garamond"/>
          <w:b/>
          <w:bCs/>
          <w:sz w:val="24"/>
          <w:szCs w:val="24"/>
        </w:rPr>
        <w:t xml:space="preserve">11.2 The Latvian Form: An Unsolved Problem That Favors Our Hypothesis</w:t>
      </w:r>
    </w:p>
    <w:p>
      <w:pPr>
        <w:spacing w:after="200" w:before="0" w:line="300" w:lineRule="auto"/>
        <w:ind w:firstLine="0"/>
        <w:jc w:val="both"/>
      </w:pPr>
      <w:r>
        <w:rPr>
          <w:rFonts w:ascii="Garamond" w:cs="Garamond" w:eastAsia="Garamond" w:hAnsi="Garamond"/>
          <w:sz w:val="24"/>
          <w:szCs w:val="24"/>
        </w:rPr>
        <w:t xml:space="preserve">The Latvian form dūre “fist” (with long ū, as written in standard Latvian orthography) is harder, and we treat it separately. Beekes claims its *u* reflects PIE *u* in the root. There are three reasons to doubt this.</w:t>
      </w:r>
    </w:p>
    <w:p>
      <w:pPr>
        <w:spacing w:after="200" w:before="0" w:line="300" w:lineRule="auto"/>
        <w:ind w:firstLine="0"/>
        <w:jc w:val="both"/>
      </w:pPr>
      <w:r>
        <w:rPr>
          <w:rFonts w:ascii="Garamond" w:cs="Garamond" w:eastAsia="Garamond" w:hAnsi="Garamond"/>
          <w:sz w:val="24"/>
          <w:szCs w:val="24"/>
        </w:rPr>
        <w:t xml:space="preserve">First, the conditioning environment for the *ur* versus *ir* reflex of syllabic resonants in Balto-Slavic is, by the field’s own explicit admission, an unsolved problem. Matasović (2004: 337), in the definitive modern treatment of this question published in Indogermanische Forschungen, opens by observing that even a century ago Endzelīns recognized that “no simple solution, involving clearly definable environments for different reflexes, can be found,” and the great Baltic scholar Christian Stang himself was forced to concede: “hier bleibt ein Problem, das ich nicht zu lösen vermag” (“here remains a problem I cannot solve”). Matasović’s own survey of the lexical material shows *ir* to be the clear default, with *ur* appearing in only a restricted set of environments whose precise definition remains contested. Beekes cannot confidently assert that the *ū* in dūre must reflect PIE *u* in the root when the conditions that produce *ur* from syllabic *r̥* remain an active and unsettled problem in Balto-Slavic linguistics.</w:t>
      </w:r>
    </w:p>
    <w:p>
      <w:pPr>
        <w:spacing w:after="200" w:before="0" w:line="300" w:lineRule="auto"/>
        <w:ind w:firstLine="0"/>
        <w:jc w:val="both"/>
      </w:pPr>
      <w:r>
        <w:rPr>
          <w:rFonts w:ascii="Garamond" w:cs="Garamond" w:eastAsia="Garamond" w:hAnsi="Garamond"/>
          <w:sz w:val="24"/>
          <w:szCs w:val="24"/>
        </w:rPr>
        <w:t xml:space="preserve">Second, the founder of Latvian linguistics, Jānis Endzelīns — whose Latvian dictionary is the very source Beekes relies upon for Latvian evidence — proposed, together with Reinhold Trautmann, that the *ur* reflex arises in roots whose full grade contains PIE *o*, while *ir* is regular where the full grade has *e* (Trautmann 1923; reported in Matasović 2004: 337). Matasović raises a counterexample to this theory, but the more important point for our purposes is what his own analysis yields. Matasović’s proposed rules (2004: 340) hold that for syllabic liquids, the *ur* reflex is regular after velars, while *ir* is the default elsewhere. The root *\*der-* begins with a dental *d-*, not a velar. However — and this is decisive — Matasović’s rules are explicitly framed as falsifiable predictions about regular environments; he acknowledges substantial analogical disturbance throughout the data. It is also significant that Derksen (2015: s.v. durti), discussing the Baltic root *dur-* “stab, prick” (Lith. durti, Latv. durt) — a root with the same *ur* vocalism in the same root neighborhood as dūre — explicitly adopts “an agnostic stance” and provisionally separates *\*dur-* from PIE *\*der-*/*\*dir-*, noting that the phonological relationship between *ur* and *er/ir* vocalism in this root family is uncertain. The most authoritative current dictionary of Baltic etymology is thus openly uncertain about the meaning of *ur* vocalism in precisely the root environment Beekes invokes.</w:t>
      </w:r>
    </w:p>
    <w:p>
      <w:pPr>
        <w:spacing w:after="200" w:before="0" w:line="300" w:lineRule="auto"/>
        <w:ind w:firstLine="0"/>
        <w:jc w:val="both"/>
      </w:pPr>
      <w:r>
        <w:rPr>
          <w:rFonts w:ascii="Garamond" w:cs="Garamond" w:eastAsia="Garamond" w:hAnsi="Garamond"/>
          <w:sz w:val="24"/>
          <w:szCs w:val="24"/>
        </w:rPr>
        <w:t xml:space="preserve">Third, the Latvian form is isolated within Baltic: Lithuanian, the more archaic and conservative of the two living Baltic languages, has no corresponding *durn-* form meaning “fist” or “hand.” A genuine inherited PIE word with *u* in the root would be expected to appear in Lithuanian as well. More strikingly, Derksen’s Etymological Dictionary of the Baltic Inherited Lexicon (2015) — the current standard reference for Baltic inherited vocabulary, published in the same Brill Leiden Indo-European Etymological Dictionary series as Matasović’s Celtic dictionary — contains no entry for Latvian dūre “fist” at all. A form that Beekes treats as decisive evidence for PIE *u* does not appear in the most authoritative current Baltic etymological dictionary. Beekes is resting a significant phonological claim on a single isolated Latvian form that the field’s own reference works do not treat as securely inherited.</w:t>
      </w:r>
    </w:p>
    <w:p>
      <w:pPr>
        <w:spacing w:after="160" w:before="200" w:line="300" w:lineRule="auto"/>
        <w:jc w:val="both"/>
      </w:pPr>
      <w:r>
        <w:rPr>
          <w:rFonts w:ascii="Garamond" w:cs="Garamond" w:eastAsia="Garamond" w:hAnsi="Garamond"/>
          <w:b/>
          <w:bCs/>
          <w:sz w:val="24"/>
          <w:szCs w:val="24"/>
        </w:rPr>
        <w:t xml:space="preserve">11.3 The Objection Does Not Stand</w:t>
      </w:r>
    </w:p>
    <w:p>
      <w:pPr>
        <w:spacing w:after="200" w:before="0" w:line="300" w:lineRule="auto"/>
        <w:ind w:firstLine="0"/>
        <w:jc w:val="both"/>
      </w:pPr>
      <w:r>
        <w:rPr>
          <w:rFonts w:ascii="Garamond" w:cs="Garamond" w:eastAsia="Garamond" w:hAnsi="Garamond"/>
          <w:sz w:val="24"/>
          <w:szCs w:val="24"/>
        </w:rPr>
        <w:t xml:space="preserve">Beekes’s objection has the following structure: Celtic and Latvian show *u*; PIE *u* is incompatible with *der-*; therefore these forms are unrelated to δῶρον. All three components are either wrong or unproven. The Celtic *u/o* is not a PIE root vowel but a secondary vocalization of syllabic *r̥* before a nasal — a process independently documented in gonaid/gwanu from *gʷʰn̥-*. The Latvian *ū* is equally explicable from syllabic *r̥* via the *ur* variant of Balto-Slavic resonant vocalization, whose conditioning remains actively disputed in the scholarly literature (Matasović 2004) — and the form dūre is in any case too isolated within Baltic, lacking any Lithuanian cognate, to sustain the weight Beekes places on it. The conclusion that these forms cannot relate to δῶρον does not follow even if one grants the other premises, since our derivation requires only that the Celtic and Baltic forms reflect the zero grade of *der-*, which produces *ur/or* by regular processes in each branch. It is telling that Pokorny himself, in his entry for *\*dōr-/dor-* “palm-breadth” (IEW 203), considered the Celtic forms and chose not to exclude the connection on phonological grounds — his hesitation was purely semantic, that the Celtic words had drifted toward “geballte Hand, Faust, Faustschlag” (closed hand, fist, punch) and thus “nicht heischen” — did not require — a union with the Greek. He did not say the connection was impossible. Our semantic argument — that “open palm” and “closed fist” are two states of the same body part, expressed by ablaut grades of the same root — directly addresses the only hesitation Pokorny raised. Beekes’s two-lemma solution does not.</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480"/>
      </w:pPr>
      <w:r>
        <w:rPr>
          <w:rFonts w:ascii="Garamond" w:cs="Garamond" w:eastAsia="Garamond" w:hAnsi="Garamond"/>
          <w:b/>
          <w:bCs/>
          <w:color w:val="2c2c2c"/>
          <w:sz w:val="26"/>
          <w:szCs w:val="26"/>
        </w:rPr>
        <w:t xml:space="preserve">Statement of Contributions</w:t>
      </w:r>
    </w:p>
    <w:p>
      <w:pPr>
        <w:spacing w:after="180" w:before="0" w:line="300" w:lineRule="auto"/>
        <w:jc w:val="both"/>
      </w:pPr>
      <w:r>
        <w:rPr>
          <w:rFonts w:ascii="Garamond" w:cs="Garamond" w:eastAsia="Garamond" w:hAnsi="Garamond"/>
          <w:sz w:val="24"/>
          <w:szCs w:val="24"/>
        </w:rPr>
        <w:t xml:space="preserve">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pPr>
        <w:spacing w:after="120" w:before="160" w:line="300" w:lineRule="auto"/>
        <w:jc w:val="both"/>
      </w:pPr>
      <w:r>
        <w:rPr>
          <w:rFonts w:ascii="Garamond" w:cs="Garamond" w:eastAsia="Garamond" w:hAnsi="Garamond"/>
          <w:b/>
          <w:bCs/>
          <w:sz w:val="24"/>
          <w:szCs w:val="24"/>
        </w:rPr>
        <w:t xml:space="preserve">Contributions of J.M. Chavis (first author)</w:t>
      </w:r>
    </w:p>
    <w:p>
      <w:pPr>
        <w:spacing w:after="180" w:before="0" w:line="300" w:lineRule="auto"/>
        <w:jc w:val="both"/>
      </w:pPr>
      <w:r>
        <w:rPr>
          <w:rFonts w:ascii="Garamond" w:cs="Garamond" w:eastAsia="Garamond" w:hAnsi="Garamond"/>
          <w:sz w:val="24"/>
          <w:szCs w:val="24"/>
        </w:rP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pPr>
        <w:spacing w:after="120" w:before="160" w:line="300" w:lineRule="auto"/>
        <w:jc w:val="both"/>
      </w:pPr>
      <w:r>
        <w:rPr>
          <w:rFonts w:ascii="Garamond" w:cs="Garamond" w:eastAsia="Garamond" w:hAnsi="Garamond"/>
          <w:b/>
          <w:bCs/>
          <w:sz w:val="24"/>
          <w:szCs w:val="24"/>
        </w:rPr>
        <w:t xml:space="preserve">Contributions of Claude, A.I. (second author)</w:t>
      </w:r>
    </w:p>
    <w:p>
      <w:pPr>
        <w:spacing w:after="180" w:before="0" w:line="300" w:lineRule="auto"/>
        <w:jc w:val="both"/>
      </w:pPr>
      <w:r>
        <w:rPr>
          <w:rFonts w:ascii="Garamond" w:cs="Garamond" w:eastAsia="Garamond" w:hAnsi="Garamond"/>
          <w:sz w:val="24"/>
          <w:szCs w:val="24"/>
        </w:rPr>
        <w:t xml:space="preserve">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distinguishing moraic compensatory lengthening (coda-r deletion in closed syllables, giving the long ō of the verbal stem) from Brugmann’s Law proper (resonant preserved in open syllables, as in *doru- → dāru), and documenting both as evidence for the same cross-branch tendency; the detailed examination and rejection of alternative explanations for the long ō in δῶρον (including the lengthened o-grade mechanism and Szemerényi’s Law); the discovery and analysis of the Arcadocypriot gloss δάρις/δάρειρ as a Greek zero-grade reflex of the root; the identification of the r/n-heteroclite relationship between δῶρον and δάνος; the analysis of the Hittite ḥi-verb paradigm, including a revision of the earlier incorrect claim that *r̥ → i by regular phonology, replaced by the morphological analysis — verified against Kloekhorst 2008, Melchert 2013 and 2022 — showing that the -i- of di-yanzi is contributed by the ḥi-verb suffix *-ói/-i-, not by a root zero grade, with the strong stem dā- remaining the primary Hittite argument for the paper’s hypothesis; the web searches 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*dher- “hold firm” separate from the present root, and the coda-r analysis that replaced the earlier *dewr- proposal. After the paper was posted to LingBuzz, Claude undertook further research specifically directed at answering Beekes’s objection (δῶρον, lemma 2) that Celtic and Latvian forms “point to PIE *u, which excludes any relationship with δῶρον.” This research produced a full rebuttal, now incorporated into the paper as section 11. The core finding is that the *u/o* vocalism in the Celtic forms (Old Irish dorn, Welsh dwrn) is not a PIE root vowel *u* but the regular output of syllabic *r̥ before a nasal in Proto-Celtic — exactly parallel to the attested case of Old Irish gonaid / Welsh gwanu from PIE *gʷʰn̥-. The Latvian form dūre (with long ū) was shown to be equally explicable from syllabic *r̥ via the *ur* variant of the Balto-Slavic resonant vocalization — a variant whose conditioning environment remains actively disputed in the scholarly literature, as Matasović (2004) demonstrates in the definitive modern survey of the problem. In response to a detailed peer-review critique identifying five substantive issues — the Vitruvius causal direction, the Hittite weak stem phonology, the Albanian cognate status, the Brugmann’s Law mechanism, and the unverified Cretan site name — Claude undertook primary-source verification for each issue and produced the revisions now incorporated in v19 of this paper. The Hittite weak stem argument was the most significant: the original claim that *r̥ → i by regular phonology was incorrect and has been replaced by a morphological analysis verified against the primary literature. The other four issues were confirmed valid and corrected accordingly.</w:t>
      </w:r>
    </w:p>
    <w:p>
      <w:pPr>
        <w:spacing w:after="180" w:before="0" w:line="300" w:lineRule="auto"/>
        <w:jc w:val="both"/>
      </w:pPr>
      <w:r>
        <w:rPr>
          <w:rFonts w:ascii="Garamond" w:cs="Garamond" w:eastAsia="Garamond" w:hAnsi="Garamond"/>
          <w:sz w:val="24"/>
          <w:szCs w:val="24"/>
        </w:rP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rests entirely with Chavis.</w:t>
      </w:r>
    </w:p>
    <w:p>
      <w:pPr>
        <w:spacing w:after="180" w:before="0" w:line="300" w:lineRule="auto"/>
        <w:jc w:val="both"/>
      </w:pPr>
      <w:r>
        <w:rPr>
          <w:rFonts w:ascii="Garamond" w:cs="Garamond" w:eastAsia="Garamond" w:hAnsi="Garamond"/>
          <w:sz w:val="24"/>
          <w:szCs w:val="24"/>
        </w:rPr>
        <w:t xml:space="preserve">The authors present this statement not as a hedge or disclaimer but as a record. The collaboration was genuine. The argument was built together. Its strengths and weaknesses belong to both.</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Select References</w:t>
      </w:r>
    </w:p>
    <w:p>
      <w:pPr>
        <w:spacing w:after="140" w:before="0" w:line="276" w:lineRule="auto"/>
        <w:ind w:left="480" w:hanging="480"/>
        <w:jc w:val="left"/>
      </w:pPr>
      <w:r>
        <w:rPr>
          <w:rFonts w:ascii="Garamond" w:cs="Garamond" w:eastAsia="Garamond" w:hAnsi="Garamond"/>
          <w:sz w:val="21"/>
          <w:szCs w:val="21"/>
        </w:rPr>
        <w:t xml:space="preserve">Beekes, R.S.P. 2010. Etymological Dictionary of Greek. 2 vols. Leiden: Brill.</w:t>
      </w:r>
    </w:p>
    <w:p>
      <w:pPr>
        <w:spacing w:after="140" w:before="0" w:line="276" w:lineRule="auto"/>
        <w:ind w:left="480" w:hanging="480"/>
        <w:jc w:val="left"/>
      </w:pPr>
      <w:r>
        <w:rPr>
          <w:rFonts w:ascii="Garamond" w:cs="Garamond" w:eastAsia="Garamond" w:hAnsi="Garamond"/>
          <w:sz w:val="21"/>
          <w:szCs w:val="21"/>
        </w:rPr>
        <w:t xml:space="preserve">Beekes, R.S.P. (with Kortlandt, F.) 2003. Historical Phonology of Classical Armenian. Ann Arbor: Caravan Books.</w:t>
      </w:r>
    </w:p>
    <w:p>
      <w:pPr>
        <w:spacing w:after="140" w:before="0" w:line="276" w:lineRule="auto"/>
        <w:ind w:left="480" w:hanging="480"/>
        <w:jc w:val="left"/>
      </w:pPr>
      <w:r>
        <w:rPr>
          <w:rFonts w:ascii="Garamond" w:cs="Garamond" w:eastAsia="Garamond" w:hAnsi="Garamond"/>
          <w:sz w:val="21"/>
          <w:szCs w:val="21"/>
        </w:rPr>
        <w:t xml:space="preserve">Derksen, R. 2015. Etymological Dictionary of the Baltic Inherited Lexicon. Leiden Indo-European Etymological Dictionary Series, vol. 13. Leiden: Brill.</w:t>
      </w:r>
    </w:p>
    <w:p>
      <w:pPr>
        <w:spacing w:after="140" w:before="0" w:line="276" w:lineRule="auto"/>
        <w:ind w:left="480" w:hanging="480"/>
        <w:jc w:val="left"/>
      </w:pPr>
      <w:r>
        <w:rPr>
          <w:rFonts w:ascii="Garamond" w:cs="Garamond" w:eastAsia="Garamond" w:hAnsi="Garamond"/>
          <w:sz w:val="21"/>
          <w:szCs w:val="21"/>
        </w:rPr>
        <w:t xml:space="preserve">Dictionary of Greek and Roman Antiquities, s.v. mensura. Ed. W. Smith. 1890. London: Murray.</w:t>
      </w:r>
    </w:p>
    <w:p>
      <w:pPr>
        <w:spacing w:after="140" w:before="0" w:line="276" w:lineRule="auto"/>
        <w:ind w:left="480" w:hanging="480"/>
        <w:jc w:val="left"/>
      </w:pPr>
      <w:r>
        <w:rPr>
          <w:rFonts w:ascii="Garamond" w:cs="Garamond" w:eastAsia="Garamond" w:hAnsi="Garamond"/>
          <w:sz w:val="21"/>
          <w:szCs w:val="21"/>
        </w:rPr>
        <w:t xml:space="preserve">van Beek, L. 2011. Singulative n-stems in Indo-European. Diss., Leiden University.</w:t>
      </w:r>
    </w:p>
    <w:p>
      <w:pPr>
        <w:spacing w:after="140" w:before="0" w:line="276" w:lineRule="auto"/>
        <w:ind w:left="480" w:hanging="480"/>
        <w:jc w:val="left"/>
      </w:pPr>
      <w:r>
        <w:rPr>
          <w:rFonts w:ascii="Garamond" w:cs="Garamond" w:eastAsia="Garamond" w:hAnsi="Garamond"/>
          <w:sz w:val="21"/>
          <w:szCs w:val="21"/>
        </w:rPr>
        <w:t xml:space="preserve">Kloekhorst, A. 2008. Etymological Dictionary of the Hittite Inherited Lexicon. Leiden: Brill.</w:t>
      </w:r>
    </w:p>
    <w:p>
      <w:pPr>
        <w:spacing w:after="140" w:before="0" w:line="276" w:lineRule="auto"/>
        <w:ind w:left="480" w:hanging="480"/>
        <w:jc w:val="left"/>
      </w:pPr>
      <w:r>
        <w:rPr>
          <w:rFonts w:ascii="Garamond" w:cs="Garamond" w:eastAsia="Garamond" w:hAnsi="Garamond"/>
          <w:sz w:val="21"/>
          <w:szCs w:val="21"/>
        </w:rPr>
        <w:t xml:space="preserve">Kloekhorst, A. 2019. The origin of the phonetic value of the Anatolian hieroglyphic sign *41 (CAPERE/tà). Kadmos 58(1–2): 33–48.</w:t>
      </w:r>
    </w:p>
    <w:p>
      <w:pPr>
        <w:spacing w:after="140" w:before="0" w:line="276" w:lineRule="auto"/>
        <w:ind w:left="480" w:hanging="480"/>
        <w:jc w:val="left"/>
      </w:pPr>
      <w:r>
        <w:rPr>
          <w:rFonts w:ascii="Garamond" w:cs="Garamond" w:eastAsia="Garamond" w:hAnsi="Garamond"/>
          <w:sz w:val="21"/>
          <w:szCs w:val="21"/>
        </w:rPr>
        <w:t xml:space="preserve">Yakubovich, I. 2008. Hittite-Luvian bilingualism and the development of Anatolian hieroglyphs. Acta Linguistica Petropolitana 4(1): 9–36.</w:t>
      </w:r>
    </w:p>
    <w:p>
      <w:pPr>
        <w:spacing w:after="140" w:before="0" w:line="276" w:lineRule="auto"/>
        <w:ind w:left="480" w:hanging="480"/>
        <w:jc w:val="left"/>
      </w:pPr>
      <w:r>
        <w:rPr>
          <w:rFonts w:ascii="Garamond" w:cs="Garamond" w:eastAsia="Garamond" w:hAnsi="Garamond"/>
          <w:sz w:val="21"/>
          <w:szCs w:val="21"/>
        </w:rPr>
        <w:t xml:space="preserve">Kloekhorst, A. 2019. The origin of the phonetic value of the Anatolian hieroglyphic sign *41 (CAPERE/tà). Kadmos 58(1–2): 33–48.</w:t>
      </w:r>
    </w:p>
    <w:p>
      <w:pPr>
        <w:spacing w:after="140" w:before="0" w:line="276" w:lineRule="auto"/>
        <w:ind w:left="480" w:hanging="480"/>
        <w:jc w:val="left"/>
      </w:pPr>
      <w:r>
        <w:rPr>
          <w:rFonts w:ascii="Garamond" w:cs="Garamond" w:eastAsia="Garamond" w:hAnsi="Garamond"/>
          <w:sz w:val="21"/>
          <w:szCs w:val="21"/>
        </w:rPr>
        <w:t xml:space="preserve">Yakubovich, I. 2008. Hittite-Luvian bilingualism and the development of Anatolian hieroglyphs. Acta Linguistica Petropolitana 4(1): 9–36.</w:t>
      </w:r>
    </w:p>
    <w:p>
      <w:pPr>
        <w:spacing w:after="140" w:before="0" w:line="276" w:lineRule="auto"/>
        <w:ind w:left="480" w:hanging="480"/>
        <w:jc w:val="left"/>
      </w:pPr>
      <w:r>
        <w:rPr>
          <w:rFonts w:ascii="Garamond" w:cs="Garamond" w:eastAsia="Garamond" w:hAnsi="Garamond"/>
          <w:sz w:val="21"/>
          <w:szCs w:val="21"/>
        </w:rPr>
        <w:t xml:space="preserve">Matasović, R. 2009. Etymological Dictionary of Proto-Celtic. Leiden Indo-European Etymological Dictionary Series, vol. 9. Leiden: Brill.</w:t>
      </w:r>
    </w:p>
    <w:p>
      <w:pPr>
        <w:spacing w:after="140" w:before="0" w:line="276" w:lineRule="auto"/>
        <w:ind w:left="480" w:hanging="480"/>
        <w:jc w:val="left"/>
      </w:pPr>
      <w:r>
        <w:rPr>
          <w:rFonts w:ascii="Garamond" w:cs="Garamond" w:eastAsia="Garamond" w:hAnsi="Garamond"/>
          <w:sz w:val="21"/>
          <w:szCs w:val="21"/>
        </w:rPr>
        <w:t xml:space="preserve">Matasović, R. 2012. A Grammatical Sketch of Classical Armenian.</w:t>
      </w:r>
    </w:p>
    <w:p>
      <w:pPr>
        <w:spacing w:after="140" w:before="0" w:line="276" w:lineRule="auto"/>
        <w:ind w:left="480" w:hanging="480"/>
        <w:jc w:val="left"/>
      </w:pPr>
      <w:r>
        <w:rPr>
          <w:rFonts w:ascii="Garamond" w:cs="Garamond" w:eastAsia="Garamond" w:hAnsi="Garamond"/>
          <w:sz w:val="21"/>
          <w:szCs w:val="21"/>
        </w:rPr>
        <w:t xml:space="preserve">Martirosyan, H.K. 2010. Etymological Dictionary of the Armenian Inherited Lexicon. Leiden: Brill.</w:t>
      </w:r>
    </w:p>
    <w:p>
      <w:pPr>
        <w:spacing w:after="140" w:before="0" w:line="276" w:lineRule="auto"/>
        <w:ind w:left="480" w:hanging="480"/>
        <w:jc w:val="left"/>
      </w:pPr>
      <w:r>
        <w:rPr>
          <w:rFonts w:ascii="Garamond" w:cs="Garamond" w:eastAsia="Garamond" w:hAnsi="Garamond"/>
          <w:sz w:val="21"/>
          <w:szCs w:val="21"/>
        </w:rPr>
        <w:t xml:space="preserve">Melchert, H.C. 2015. Hittite Historical Phonology after 100 Years. Prague: Charles University.</w:t>
      </w:r>
    </w:p>
    <w:p>
      <w:pPr>
        <w:spacing w:after="140" w:before="0" w:line="276" w:lineRule="auto"/>
        <w:ind w:left="480" w:hanging="480"/>
        <w:jc w:val="left"/>
      </w:pPr>
      <w:r>
        <w:rPr>
          <w:rFonts w:ascii="Garamond" w:cs="Garamond" w:eastAsia="Garamond" w:hAnsi="Garamond"/>
          <w:sz w:val="21"/>
          <w:szCs w:val="21"/>
        </w:rPr>
        <w:t xml:space="preserve">Melchert, H.C. 2022. More on Ablaut Patterns in the ḥi-Conjugation. Indo-European Linguistics 10: 107–128.</w:t>
      </w:r>
    </w:p>
    <w:p>
      <w:pPr>
        <w:spacing w:after="140" w:before="0" w:line="276" w:lineRule="auto"/>
        <w:ind w:left="480" w:hanging="480"/>
        <w:jc w:val="left"/>
      </w:pPr>
      <w:r>
        <w:rPr>
          <w:rFonts w:ascii="Garamond" w:cs="Garamond" w:eastAsia="Garamond" w:hAnsi="Garamond"/>
          <w:sz w:val="21"/>
          <w:szCs w:val="21"/>
        </w:rPr>
        <w:t xml:space="preserve">Hayes, B. 1989. Compensatory Lengthening in Moraic Phonology. Linguistic Inquiry 20(2): 253–306.</w:t>
      </w:r>
    </w:p>
    <w:p>
      <w:pPr>
        <w:spacing w:after="140" w:before="0" w:line="276" w:lineRule="auto"/>
        <w:ind w:left="480" w:hanging="480"/>
        <w:jc w:val="left"/>
      </w:pPr>
      <w:r>
        <w:rPr>
          <w:rFonts w:ascii="Garamond" w:cs="Garamond" w:eastAsia="Garamond" w:hAnsi="Garamond"/>
          <w:sz w:val="21"/>
          <w:szCs w:val="21"/>
        </w:rPr>
        <w:t xml:space="preserve">Pokorny, J. 1959. Indogermanisches etymologisches Wörterbuch. Bern: Francke.</w:t>
      </w:r>
    </w:p>
    <w:p>
      <w:pPr>
        <w:spacing w:after="140" w:before="0" w:line="276" w:lineRule="auto"/>
        <w:ind w:left="480" w:hanging="480"/>
        <w:jc w:val="left"/>
      </w:pPr>
      <w:r>
        <w:rPr>
          <w:rFonts w:ascii="Garamond" w:cs="Garamond" w:eastAsia="Garamond" w:hAnsi="Garamond"/>
          <w:sz w:val="21"/>
          <w:szCs w:val="21"/>
        </w:rPr>
        <w:t xml:space="preserve">Poultney, J.W. 1959. The Bronze Tables of Iguvium. Baltimore: American Philological Association.</w:t>
      </w:r>
    </w:p>
    <w:p>
      <w:pPr>
        <w:spacing w:after="140" w:before="0" w:line="276" w:lineRule="auto"/>
        <w:ind w:left="480" w:hanging="480"/>
        <w:jc w:val="left"/>
      </w:pPr>
      <w:r>
        <w:rPr>
          <w:rFonts w:ascii="Garamond" w:cs="Garamond" w:eastAsia="Garamond" w:hAnsi="Garamond"/>
          <w:sz w:val="21"/>
          <w:szCs w:val="21"/>
        </w:rPr>
        <w:t xml:space="preserve">Allen, J.H. and Greenough, J.B. 1903. New Latin Grammar for Schools and Colleges. Boston: Ginn and Company.</w:t>
      </w:r>
    </w:p>
    <w:p>
      <w:pPr>
        <w:spacing w:after="140" w:before="0" w:line="276" w:lineRule="auto"/>
        <w:ind w:left="480" w:hanging="480"/>
        <w:jc w:val="left"/>
      </w:pPr>
      <w:r>
        <w:rPr>
          <w:rFonts w:ascii="Garamond" w:cs="Garamond" w:eastAsia="Garamond" w:hAnsi="Garamond"/>
          <w:sz w:val="21"/>
          <w:szCs w:val="21"/>
        </w:rPr>
        <w:t xml:space="preserve">de Vaan, M. 2008. Etymological Dictionary of Latin and the Other Italic Languages. Leiden Indo-European Etymological Dictionary Series, vol. 7. Leiden: Brill.</w:t>
      </w:r>
    </w:p>
    <w:p>
      <w:pPr>
        <w:spacing w:after="140" w:before="0" w:line="276" w:lineRule="auto"/>
        <w:ind w:left="480" w:hanging="480"/>
        <w:jc w:val="left"/>
      </w:pPr>
      <w:r>
        <w:rPr>
          <w:rFonts w:ascii="Garamond" w:cs="Garamond" w:eastAsia="Garamond" w:hAnsi="Garamond"/>
          <w:sz w:val="21"/>
          <w:szCs w:val="21"/>
        </w:rPr>
      </w:r>
    </w:p>
    <w:p>
      <w:pPr>
        <w:spacing w:after="140" w:before="0" w:line="276" w:lineRule="auto"/>
        <w:ind w:left="480" w:hanging="480"/>
        <w:jc w:val="left"/>
      </w:pPr>
      <w:r>
        <w:rPr>
          <w:rFonts w:ascii="Garamond" w:cs="Garamond" w:eastAsia="Garamond" w:hAnsi="Garamond"/>
          <w:sz w:val="21"/>
          <w:szCs w:val="21"/>
        </w:rPr>
        <w:t xml:space="preserve">Tucker, E. 2012. Brugmann’s Law: the problem of Indo-Iranian thematic nouns and adjectives. In: Laws and Rules in Indo-European. Oxford Academic.</w:t>
      </w:r>
    </w:p>
    <w:p>
      <w:pPr>
        <w:spacing w:after="140" w:before="0" w:line="276" w:lineRule="auto"/>
        <w:ind w:left="480" w:hanging="480"/>
        <w:jc w:val="left"/>
      </w:pPr>
      <w:r>
        <w:rPr>
          <w:rFonts w:ascii="Garamond" w:cs="Garamond" w:eastAsia="Garamond" w:hAnsi="Garamond"/>
          <w:sz w:val="21"/>
          <w:szCs w:val="21"/>
        </w:rPr>
        <w:t xml:space="preserve">Hultsch, F. 1882. Griechische und römische Metrologie. 2nd ed. Berlin: Weidmann.</w:t>
      </w:r>
    </w:p>
    <w:p>
      <w:pPr>
        <w:spacing w:after="140" w:before="0" w:line="276" w:lineRule="auto"/>
        <w:ind w:left="480" w:hanging="480"/>
        <w:jc w:val="left"/>
      </w:pPr>
      <w:r>
        <w:rPr>
          <w:rFonts w:ascii="Garamond" w:cs="Garamond" w:eastAsia="Garamond" w:hAnsi="Garamond"/>
          <w:sz w:val="21"/>
          <w:szCs w:val="21"/>
        </w:rPr>
        <w:t xml:space="preserve">Frisk, H. 1960–1972. Griechisches Etymologisches Wörterbuch. 3 vols. Heidelberg: Winter. [GEW I: 430–431, s.v. δῶρον²]</w:t>
      </w:r>
    </w:p>
    <w:p>
      <w:pPr>
        <w:spacing w:after="140" w:before="0" w:line="276" w:lineRule="auto"/>
        <w:ind w:left="480" w:hanging="480"/>
        <w:jc w:val="left"/>
      </w:pPr>
      <w:r>
        <w:rPr>
          <w:rFonts w:ascii="Garamond" w:cs="Garamond" w:eastAsia="Garamond" w:hAnsi="Garamond"/>
          <w:sz w:val="21"/>
          <w:szCs w:val="21"/>
        </w:rPr>
        <w:t xml:space="preserve">Rodríguez Adrados, F. et al. (eds.) 1980–. Diccionario Griego-Español (DGE). Madrid: CSIC. [s.v. δῶρον, δάρις]</w:t>
      </w:r>
    </w:p>
    <w:p>
      <w:pPr>
        <w:spacing w:after="140" w:before="0" w:line="276" w:lineRule="auto"/>
        <w:ind w:left="480" w:hanging="480"/>
        <w:jc w:val="left"/>
      </w:pPr>
      <w:r>
        <w:rPr>
          <w:rFonts w:ascii="Garamond" w:cs="Garamond" w:eastAsia="Garamond" w:hAnsi="Garamond"/>
          <w:sz w:val="21"/>
          <w:szCs w:val="21"/>
        </w:rPr>
        <w:t xml:space="preserve">Pollux of Naucratis. Onomasticon. Ed. E. Bethe. Leipzig: Teubner, 1900–1937. [2.157, s.v. ὀρθόδωρον]</w:t>
      </w:r>
    </w:p>
    <w:p>
      <w:pPr>
        <w:spacing w:after="140" w:before="0" w:line="276" w:lineRule="auto"/>
        <w:ind w:left="480" w:hanging="480"/>
        <w:jc w:val="left"/>
      </w:pPr>
      <w:r>
        <w:rPr>
          <w:rFonts w:ascii="Garamond" w:cs="Garamond" w:eastAsia="Garamond" w:hAnsi="Garamond"/>
          <w:sz w:val="21"/>
          <w:szCs w:val="21"/>
        </w:rPr>
        <w:t xml:space="preserve">West, M.L. 1978. Hesiod: Works and Days. Edited with Prolegomena and Commentary. Oxford: Clarendon Press.</w:t>
      </w:r>
    </w:p>
    <w:p>
      <w:pPr>
        <w:spacing w:after="140" w:before="0" w:line="276" w:lineRule="auto"/>
        <w:ind w:left="480" w:hanging="480"/>
        <w:jc w:val="left"/>
      </w:pPr>
      <w:r>
        <w:rPr>
          <w:rFonts w:ascii="Garamond" w:cs="Garamond" w:eastAsia="Garamond" w:hAnsi="Garamond"/>
          <w:sz w:val="21"/>
          <w:szCs w:val="21"/>
        </w:rPr>
        <w:t xml:space="preserve">Matasović, R. 2004. The Proto-Indo-European syllabic resonants in Balto-Slavic. Indogermanische Forschungen 109: 337–354.</w:t>
      </w:r>
    </w:p>
    <w:p>
      <w:pPr>
        <w:spacing w:after="140" w:before="0" w:line="276" w:lineRule="auto"/>
        <w:ind w:left="480" w:hanging="480"/>
        <w:jc w:val="left"/>
      </w:pPr>
      <w:r>
        <w:rPr>
          <w:rFonts w:ascii="Garamond" w:cs="Garamond" w:eastAsia="Garamond" w:hAnsi="Garamond"/>
          <w:sz w:val="21"/>
          <w:szCs w:val="21"/>
        </w:rPr>
        <w:t xml:space="preserve">McCone, K. 1996. Towards a Relative Chronology of Ancient and Medieval Celtic Sound Change. Maynooth: Department of Old and Middle Irish, St. Patrick’s College.</w:t>
      </w:r>
    </w:p>
    <w:p>
      <w:pPr>
        <w:spacing w:after="140" w:before="0" w:line="276" w:lineRule="auto"/>
        <w:ind w:left="480" w:hanging="480"/>
        <w:jc w:val="left"/>
      </w:pPr>
      <w:r>
        <w:rPr>
          <w:rFonts w:ascii="Garamond" w:cs="Garamond" w:eastAsia="Garamond" w:hAnsi="Garamond"/>
          <w:sz w:val="21"/>
          <w:szCs w:val="21"/>
        </w:rPr>
        <w:t xml:space="preserve">Trautmann, R. 1923. Ein Kapitel aus der Lautlehre der baltisch-slavischen Sprachen. Slavia 2: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1a1a1a"/>
      <w:sz w:val="30"/>
      <w:szCs w:val="30"/>
    </w:rPr>
  </w:style>
  <w:style w:type="paragraph" w:styleId="Heading2">
    <w:name w:val="Heading 2"/>
    <w:basedOn w:val="Normal"/>
    <w:next w:val="Normal"/>
    <w:qFormat/>
    <w:pPr>
      <w:spacing w:after="120" w:before="320"/>
      <w:outlineLvl w:val="1"/>
    </w:pPr>
    <w:rPr>
      <w:rFonts w:ascii="Garamond" w:cs="Garamond" w:eastAsia="Garamond" w:hAnsi="Garamond"/>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2026-04-22T18:57:31.982Z</dcterms:created>
  <dcterms:modified xsi:type="dcterms:W3CDTF">2026-04-22T18:57:31.983Z</dcterms:modified>
</cp:coreProperties>
</file>

<file path=docProps/custom.xml><?xml version="1.0" encoding="utf-8"?>
<Properties xmlns="http://schemas.openxmlformats.org/officeDocument/2006/custom-properties" xmlns:vt="http://schemas.openxmlformats.org/officeDocument/2006/docPropsVTypes"/>
</file>