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and Vitruvius (De arch. 2.3.3).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Nicander’s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and the metrological lexicographers (Hultsch 1882: 34–35). Vitruvius makes the equivalence explicit: “δῶρον Graeci appellant palmum, quod munerum datio graece δῶρον appellatur, id autem semper geritur per manus palmam” — the Greeks call the palm δῶρον, because the giving of gifts is called δῶρον in Greek, and it is always performed with the open palm of the hand (De architectura 2.3.3).</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Greek δόρυ (short </w:t>
      </w:r>
      <w:r>
        <w:rPr>
          <w:rFonts w:ascii="Garamond" w:cs="Garamond" w:eastAsia="Garamond" w:hAnsi="Garamond"/>
          <w:i/>
          <w:iCs/>
          <w:sz w:val="24"/>
          <w:szCs w:val="24"/>
        </w:rPr>
        <w:t xml:space="preserve">o</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in syllable onset before the vowel </w:t>
      </w:r>
      <w:r>
        <w:rPr>
          <w:rFonts w:ascii="Garamond" w:cs="Garamond" w:eastAsia="Garamond" w:hAnsi="Garamond"/>
          <w:i/>
          <w:iCs/>
          <w:sz w:val="24"/>
          <w:szCs w:val="24"/>
        </w:rPr>
        <w:t xml:space="preserve">-u</w:t>
      </w:r>
      <w:r>
        <w:rPr>
          <w:rFonts w:ascii="Garamond" w:cs="Garamond" w:eastAsia="Garamond" w:hAnsi="Garamond"/>
          <w:sz w:val="24"/>
          <w:szCs w:val="24"/>
        </w:rPr>
        <w:t xml:space="preserve">) beside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(long </w:t>
      </w:r>
      <w:r>
        <w:rPr>
          <w:rFonts w:ascii="Garamond" w:cs="Garamond" w:eastAsia="Garamond" w:hAnsi="Garamond"/>
          <w:i/>
          <w:iCs/>
          <w:sz w:val="24"/>
          <w:szCs w:val="24"/>
        </w:rPr>
        <w:t xml:space="preserve">ā</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when the syllable weight requires it). Brugmann’s Law, whatever its exact scope and limitations, captures the observation that PIE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resonant in an open syllable regularly lengthens in Indo-Iranian, with the resonant absorbed into the resulting long vowel.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undergoes exactly this treatment before consonant-initial endings in both Indo-Iranian and Anatolian, giving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by the same process that gives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w:t>
      </w:r>
      <w:r>
        <w:rPr>
          <w:rFonts w:ascii="Garamond" w:cs="Garamond" w:eastAsia="Garamond" w:hAnsi="Garamond"/>
          <w:i/>
          <w:iCs/>
          <w:sz w:val="24"/>
          <w:szCs w:val="24"/>
        </w:rPr>
        <w:t xml:space="preserve">*doru-</w:t>
      </w:r>
      <w:r>
        <w:rPr>
          <w:rFonts w:ascii="Garamond" w:cs="Garamond" w:eastAsia="Garamond" w:hAnsi="Garamond"/>
          <w:sz w:val="24"/>
          <w:szCs w:val="24"/>
        </w:rPr>
        <w:t xml:space="preserve">. The parallel is not incidental; it reflects the same phonological behavior of </w:t>
      </w:r>
      <w:r>
        <w:rPr>
          <w:rFonts w:ascii="Garamond" w:cs="Garamond" w:eastAsia="Garamond" w:hAnsi="Garamond"/>
          <w:i/>
          <w:iCs/>
          <w:sz w:val="24"/>
          <w:szCs w:val="24"/>
        </w:rPr>
        <w:t xml:space="preserve">*o + r</w:t>
      </w:r>
      <w:r>
        <w:rPr>
          <w:rFonts w:ascii="Garamond" w:cs="Garamond" w:eastAsia="Garamond" w:hAnsi="Garamond"/>
          <w:sz w:val="24"/>
          <w:szCs w:val="24"/>
        </w:rPr>
        <w:t xml:space="preserve"> sequences in these branches.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r-absorption; Brugmann’s Law</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drop before consonant ending</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is a root ḥi-verb with the paradigm </w:t>
      </w:r>
      <w:r>
        <w:rPr>
          <w:rFonts w:ascii="Garamond" w:cs="Garamond" w:eastAsia="Garamond" w:hAnsi="Garamond"/>
          <w:i/>
          <w:iCs/>
          <w:sz w:val="24"/>
          <w:szCs w:val="24"/>
        </w:rPr>
        <w:t xml:space="preserve">dā-ḥḥi, dā-tti, dā-i</w:t>
      </w:r>
      <w:r>
        <w:rPr>
          <w:rFonts w:ascii="Garamond" w:cs="Garamond" w:eastAsia="Garamond" w:hAnsi="Garamond"/>
          <w:sz w:val="24"/>
          <w:szCs w:val="24"/>
        </w:rPr>
        <w:t xml:space="preserve"> (singular, strong stem) and </w:t>
      </w:r>
      <w:r>
        <w:rPr>
          <w:rFonts w:ascii="Garamond" w:cs="Garamond" w:eastAsia="Garamond" w:hAnsi="Garamond"/>
          <w:i/>
          <w:iCs/>
          <w:sz w:val="24"/>
          <w:szCs w:val="24"/>
        </w:rPr>
        <w:t xml:space="preserve">di-ya-nzi</w:t>
      </w:r>
      <w:r>
        <w:rPr>
          <w:rFonts w:ascii="Garamond" w:cs="Garamond" w:eastAsia="Garamond" w:hAnsi="Garamond"/>
          <w:sz w:val="24"/>
          <w:szCs w:val="24"/>
        </w:rPr>
        <w:t xml:space="preserve"> (plural, weak stem). This strong/weak alternation is the defining feature of an acrostatic root present with o-grade in the singular and zero grade in the plural — precisely the </w:t>
      </w:r>
      <w:r>
        <w:rPr>
          <w:rFonts w:ascii="Garamond" w:cs="Garamond" w:eastAsia="Garamond" w:hAnsi="Garamond"/>
          <w:i/>
          <w:iCs/>
          <w:sz w:val="24"/>
          <w:szCs w:val="24"/>
        </w:rPr>
        <w:t xml:space="preserve">ḥi-</w:t>
      </w:r>
      <w:r>
        <w:rPr>
          <w:rFonts w:ascii="Garamond" w:cs="Garamond" w:eastAsia="Garamond" w:hAnsi="Garamond"/>
          <w:sz w:val="24"/>
          <w:szCs w:val="24"/>
        </w:rPr>
        <w:t xml:space="preserve">conjugation type that Melchert has shown preserves the most archaic PIE verbal morphology.</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Matasōvić’s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*doru-/dāru “wood” paradigm; the detailed examination and rejection of alternative explanations for the long ō in δῶρον (including the lengthened o-grade mechanism and Szemerényi’s Law); the discovery and analysis of the Arcadocypriot gloss δáρις/δáρειρ as a Greek zero-grade reflex of the root; the identification of the r/n-heteroclite relationship between δῶρον and δáνος; the analysis of the Hittite ḥi-verb paradigm *dā- / di- as a direct reflex of the PIE o-grade / zero-grade alternation;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Matasóvić,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