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8C773" w14:textId="0491E429" w:rsidR="001D6B40" w:rsidRDefault="001D6B40" w:rsidP="001D6B40">
      <w:pPr>
        <w:jc w:val="center"/>
      </w:pPr>
      <w:bookmarkStart w:id="0" w:name="_GoBack"/>
      <w:r>
        <w:t>Case and Agreement in a Corner of Icelandic</w:t>
      </w:r>
      <w:bookmarkEnd w:id="0"/>
      <w:r w:rsidR="003E258B">
        <w:rPr>
          <w:rStyle w:val="FootnoteReference"/>
        </w:rPr>
        <w:footnoteReference w:id="1"/>
      </w:r>
    </w:p>
    <w:p w14:paraId="14A2A3E3" w14:textId="50F15BF8" w:rsidR="001D6B40" w:rsidRDefault="001D6B40" w:rsidP="001D6B40">
      <w:pPr>
        <w:jc w:val="center"/>
      </w:pPr>
      <w:r>
        <w:t>Norbert Hornstein</w:t>
      </w:r>
    </w:p>
    <w:p w14:paraId="3E7606D8" w14:textId="49FEA034" w:rsidR="001D6B40" w:rsidRDefault="008072AE" w:rsidP="001D6B40">
      <w:pPr>
        <w:jc w:val="center"/>
      </w:pPr>
      <w:r>
        <w:t>UMD, October</w:t>
      </w:r>
      <w:r w:rsidR="001D6B40">
        <w:t xml:space="preserve"> 2018</w:t>
      </w:r>
    </w:p>
    <w:p w14:paraId="285ECA2A" w14:textId="77777777" w:rsidR="001D6B40" w:rsidRDefault="001D6B40" w:rsidP="001D6B40">
      <w:pPr>
        <w:jc w:val="center"/>
      </w:pPr>
    </w:p>
    <w:p w14:paraId="577E70EB" w14:textId="77777777" w:rsidR="001D6B40" w:rsidRDefault="001D6B40" w:rsidP="001D6B40">
      <w:pPr>
        <w:jc w:val="center"/>
      </w:pPr>
    </w:p>
    <w:p w14:paraId="20A919B2" w14:textId="3D8AC2E0" w:rsidR="00AF770E" w:rsidRDefault="00AF770E" w:rsidP="001D6B40">
      <w:pPr>
        <w:pStyle w:val="ListParagraph"/>
        <w:numPr>
          <w:ilvl w:val="0"/>
          <w:numId w:val="1"/>
        </w:numPr>
      </w:pPr>
      <w:r>
        <w:t>The Issue</w:t>
      </w:r>
    </w:p>
    <w:p w14:paraId="124B7345" w14:textId="77777777" w:rsidR="00AF770E" w:rsidRDefault="00AF770E" w:rsidP="00AF770E">
      <w:pPr>
        <w:ind w:left="360"/>
      </w:pPr>
    </w:p>
    <w:p w14:paraId="1483CAB2" w14:textId="65C4E222" w:rsidR="00701A97" w:rsidRDefault="00FF6732">
      <w:r>
        <w:t xml:space="preserve">The </w:t>
      </w:r>
      <w:r>
        <w:rPr>
          <w:i/>
        </w:rPr>
        <w:t>anaphor agreement effect</w:t>
      </w:r>
      <w:r w:rsidR="000B447B">
        <w:t xml:space="preserve"> (AAE) names the fact</w:t>
      </w:r>
      <w:r>
        <w:t xml:space="preserve"> that </w:t>
      </w:r>
      <w:r w:rsidR="00F23F44">
        <w:t>(simple</w:t>
      </w:r>
      <w:r w:rsidR="00E2188F">
        <w:t>)</w:t>
      </w:r>
      <w:r w:rsidR="000B447B">
        <w:t xml:space="preserve"> </w:t>
      </w:r>
      <w:r>
        <w:t>reflexives</w:t>
      </w:r>
      <w:r w:rsidR="00DF3079">
        <w:t xml:space="preserve"> </w:t>
      </w:r>
      <w:r w:rsidR="00126011">
        <w:t>ca</w:t>
      </w:r>
      <w:r>
        <w:t xml:space="preserve">nnot </w:t>
      </w:r>
      <w:r w:rsidR="000B447B">
        <w:t>value unvalued phi features</w:t>
      </w:r>
      <w:r w:rsidR="00E2188F">
        <w:t>.</w:t>
      </w:r>
      <w:r w:rsidR="00E2188F">
        <w:rPr>
          <w:rStyle w:val="FootnoteReference"/>
        </w:rPr>
        <w:footnoteReference w:id="2"/>
      </w:r>
      <w:r w:rsidR="003E1EA0">
        <w:t xml:space="preserve"> </w:t>
      </w:r>
      <w:r w:rsidR="00AF735A">
        <w:t>T</w:t>
      </w:r>
      <w:r w:rsidR="00151E9B">
        <w:t>wo</w:t>
      </w:r>
      <w:r w:rsidR="000B447B">
        <w:t xml:space="preserve"> kinds of evidence </w:t>
      </w:r>
      <w:r w:rsidR="00AF735A">
        <w:t xml:space="preserve">support </w:t>
      </w:r>
      <w:r w:rsidR="000B447B">
        <w:t>the AAE</w:t>
      </w:r>
      <w:r w:rsidR="003E1EA0">
        <w:t xml:space="preserve">. </w:t>
      </w:r>
      <w:r w:rsidR="00151E9B">
        <w:t>First</w:t>
      </w:r>
      <w:r w:rsidR="003E1EA0">
        <w:t xml:space="preserve">, </w:t>
      </w:r>
      <w:r w:rsidR="00126011">
        <w:t xml:space="preserve">nominative reflexives </w:t>
      </w:r>
      <w:r w:rsidR="003E1EA0">
        <w:t xml:space="preserve">are barred from </w:t>
      </w:r>
      <w:r w:rsidR="00151E9B">
        <w:t xml:space="preserve">positions where agreement is mandatory, most prominently the subject position of finite clauses. </w:t>
      </w:r>
      <w:r w:rsidR="00F23F44">
        <w:t xml:space="preserve">Second, </w:t>
      </w:r>
      <w:r>
        <w:t>r</w:t>
      </w:r>
      <w:r w:rsidR="00126011">
        <w:t xml:space="preserve">eflexives can occur in the subject position of </w:t>
      </w:r>
      <w:r>
        <w:t xml:space="preserve">finite clauses if they do not enter into an agreement relation with the </w:t>
      </w:r>
      <w:r w:rsidR="00AF735A">
        <w:t xml:space="preserve">unvalued </w:t>
      </w:r>
      <w:proofErr w:type="spellStart"/>
      <w:r>
        <w:t>Agr</w:t>
      </w:r>
      <w:proofErr w:type="spellEnd"/>
      <w:r>
        <w:t xml:space="preserve"> features on finite T</w:t>
      </w:r>
      <w:r w:rsidR="00C34956">
        <w:t xml:space="preserve"> </w:t>
      </w:r>
      <w:r w:rsidR="00126011">
        <w:t xml:space="preserve">(e.g. </w:t>
      </w:r>
      <w:r w:rsidR="00AF735A">
        <w:t xml:space="preserve">locally bound </w:t>
      </w:r>
      <w:r w:rsidR="00126011">
        <w:t>dative</w:t>
      </w:r>
      <w:r w:rsidR="00AF735A">
        <w:t xml:space="preserve"> reflexive</w:t>
      </w:r>
      <w:r w:rsidR="00126011">
        <w:t xml:space="preserve"> subjects </w:t>
      </w:r>
      <w:r w:rsidR="00AF735A">
        <w:t xml:space="preserve">exist </w:t>
      </w:r>
      <w:r w:rsidR="00126011">
        <w:t>in Icelandic)</w:t>
      </w:r>
      <w:r w:rsidR="00DF3079">
        <w:t xml:space="preserve"> or</w:t>
      </w:r>
      <w:r>
        <w:t xml:space="preserve"> if</w:t>
      </w:r>
      <w:r w:rsidR="00126011">
        <w:t xml:space="preserve"> the finite clause </w:t>
      </w:r>
      <w:r w:rsidR="00F23F44">
        <w:t>is not</w:t>
      </w:r>
      <w:r w:rsidR="00126011">
        <w:t xml:space="preserve"> coupled with agreement morphology </w:t>
      </w:r>
      <w:r>
        <w:t xml:space="preserve">(e.g. </w:t>
      </w:r>
      <w:r w:rsidR="00D13D0C">
        <w:t xml:space="preserve">finite T in </w:t>
      </w:r>
      <w:r>
        <w:t>the East Asian lang</w:t>
      </w:r>
      <w:r w:rsidR="00B224CF">
        <w:t>uages</w:t>
      </w:r>
      <w:r w:rsidR="00AF735A">
        <w:t xml:space="preserve"> is without phi features and here too locally bound nominative reflexives are found</w:t>
      </w:r>
      <w:r w:rsidR="00B224CF">
        <w:t>)</w:t>
      </w:r>
      <w:r w:rsidR="00F23F44">
        <w:t>. Both types of data argue</w:t>
      </w:r>
      <w:r w:rsidR="00B224CF">
        <w:t xml:space="preserve"> that reflexives are incompatible with agreement.</w:t>
      </w:r>
    </w:p>
    <w:p w14:paraId="1F03D3C0" w14:textId="77777777" w:rsidR="008F0BE9" w:rsidRDefault="008F0BE9"/>
    <w:p w14:paraId="609E9238" w14:textId="3E7FC51B" w:rsidR="00BE5940" w:rsidRDefault="009B347A">
      <w:r>
        <w:t>W</w:t>
      </w:r>
      <w:proofErr w:type="gramStart"/>
      <w:r>
        <w:t>:99</w:t>
      </w:r>
      <w:proofErr w:type="gramEnd"/>
      <w:r w:rsidR="004A681C">
        <w:t xml:space="preserve"> </w:t>
      </w:r>
      <w:r w:rsidR="004D24E4">
        <w:t xml:space="preserve">further </w:t>
      </w:r>
      <w:r w:rsidR="004A681C">
        <w:t>shows that</w:t>
      </w:r>
      <w:r w:rsidR="00E66D62">
        <w:t xml:space="preserve"> AAE</w:t>
      </w:r>
      <w:r w:rsidR="004A681C">
        <w:t xml:space="preserve"> effects</w:t>
      </w:r>
      <w:r w:rsidR="004D24E4">
        <w:t xml:space="preserve"> are not restricted to nominatives. R</w:t>
      </w:r>
      <w:r w:rsidR="00F618C6">
        <w:t xml:space="preserve">eflexives are </w:t>
      </w:r>
      <w:r w:rsidR="004D24E4">
        <w:t>similarly</w:t>
      </w:r>
      <w:r w:rsidR="006810AE">
        <w:t xml:space="preserve"> </w:t>
      </w:r>
      <w:r w:rsidR="004D24E4">
        <w:t>absent in</w:t>
      </w:r>
      <w:r w:rsidR="00F618C6">
        <w:t xml:space="preserve"> agree</w:t>
      </w:r>
      <w:r w:rsidR="006810AE">
        <w:t>ing accusative positions</w:t>
      </w:r>
      <w:r w:rsidR="008F0BE9">
        <w:t>.</w:t>
      </w:r>
      <w:r w:rsidR="007B64BB">
        <w:rPr>
          <w:rStyle w:val="FootnoteReference"/>
        </w:rPr>
        <w:footnoteReference w:id="3"/>
      </w:r>
      <w:r w:rsidR="008F0BE9">
        <w:t xml:space="preserve"> </w:t>
      </w:r>
      <w:r w:rsidR="007B64BB">
        <w:t>W</w:t>
      </w:r>
      <w:proofErr w:type="gramStart"/>
      <w:r w:rsidR="007B64BB">
        <w:t>:99’s</w:t>
      </w:r>
      <w:proofErr w:type="gramEnd"/>
      <w:r w:rsidR="004D24E4">
        <w:t xml:space="preserve"> reasonable</w:t>
      </w:r>
      <w:r w:rsidR="006810AE">
        <w:t xml:space="preserve"> </w:t>
      </w:r>
      <w:r w:rsidR="004D24E4">
        <w:t>conclusion is that agreement, not case,</w:t>
      </w:r>
      <w:r w:rsidR="006810AE">
        <w:t xml:space="preserve"> drives the AAE</w:t>
      </w:r>
      <w:r w:rsidR="004D24E4">
        <w:t>.</w:t>
      </w:r>
      <w:r w:rsidR="006810AE">
        <w:t xml:space="preserve"> </w:t>
      </w:r>
      <w:r w:rsidR="004D24E4">
        <w:t>This</w:t>
      </w:r>
      <w:r w:rsidR="00F33D64">
        <w:t xml:space="preserve"> makes AAE effects useful</w:t>
      </w:r>
      <w:r w:rsidR="006810AE">
        <w:t xml:space="preserve"> probes for unvalued phi-features.</w:t>
      </w:r>
      <w:r w:rsidR="007741EB">
        <w:rPr>
          <w:rStyle w:val="FootnoteReference"/>
        </w:rPr>
        <w:footnoteReference w:id="4"/>
      </w:r>
      <w:r w:rsidR="00425CFB">
        <w:t xml:space="preserve"> </w:t>
      </w:r>
      <w:r w:rsidR="007C1302">
        <w:t>For example</w:t>
      </w:r>
      <w:r w:rsidR="00846323">
        <w:t>,</w:t>
      </w:r>
      <w:r w:rsidR="00425CFB">
        <w:t xml:space="preserve"> the </w:t>
      </w:r>
      <w:r w:rsidR="00AE4B8B">
        <w:t>acceptability (and hence putative gra</w:t>
      </w:r>
      <w:r w:rsidR="00E66D62">
        <w:t>mmaticality) of reflexives</w:t>
      </w:r>
      <w:r w:rsidR="00AE4B8B">
        <w:t xml:space="preserve"> in object positions in languages like English</w:t>
      </w:r>
      <w:r w:rsidR="00BE5940">
        <w:t xml:space="preserve"> and Icelandic</w:t>
      </w:r>
      <w:r w:rsidR="00846323">
        <w:t xml:space="preserve"> </w:t>
      </w:r>
      <w:r w:rsidR="004D24E4">
        <w:t>argues against reducing case to a byproduct</w:t>
      </w:r>
      <w:r w:rsidR="00BE5940">
        <w:t xml:space="preserve"> of phi-agreement</w:t>
      </w:r>
      <w:r w:rsidR="00C82CA1">
        <w:t xml:space="preserve">. </w:t>
      </w:r>
      <w:r w:rsidR="00BE5940">
        <w:t>Wh</w:t>
      </w:r>
      <w:r w:rsidR="007C1302">
        <w:t>y? Because if accusative case</w:t>
      </w:r>
      <w:r w:rsidR="00BE5940">
        <w:t xml:space="preserve"> </w:t>
      </w:r>
      <w:r w:rsidR="004D24E4">
        <w:t>piggy backs on</w:t>
      </w:r>
      <w:r w:rsidR="00BE5940">
        <w:t xml:space="preserve"> phi-feature agreement then, given </w:t>
      </w:r>
      <w:r w:rsidR="00C82CA1">
        <w:t xml:space="preserve">the </w:t>
      </w:r>
      <w:r w:rsidR="004D24E4">
        <w:t>AAE, object</w:t>
      </w:r>
      <w:r w:rsidR="00BE5940">
        <w:t xml:space="preserve"> reflexives should not exist, contrary to fact. </w:t>
      </w:r>
    </w:p>
    <w:p w14:paraId="7A6BA9A4" w14:textId="77777777" w:rsidR="00BE5940" w:rsidRDefault="00BE5940"/>
    <w:p w14:paraId="70DF325B" w14:textId="4927268A" w:rsidR="008F0BE9" w:rsidRDefault="008A1C85">
      <w:r>
        <w:t>A</w:t>
      </w:r>
      <w:r w:rsidR="00BE5940">
        <w:t xml:space="preserve"> stronger claim</w:t>
      </w:r>
      <w:r>
        <w:t xml:space="preserve"> is possible</w:t>
      </w:r>
      <w:r w:rsidR="005710EB">
        <w:t xml:space="preserve"> given the data</w:t>
      </w:r>
      <w:r w:rsidR="007C1302">
        <w:t>, and Preminger (forthcoming)</w:t>
      </w:r>
      <w:r>
        <w:t xml:space="preserve"> makes it</w:t>
      </w:r>
      <w:r w:rsidR="00BE5940">
        <w:t>.</w:t>
      </w:r>
      <w:r w:rsidR="007C1302">
        <w:rPr>
          <w:rStyle w:val="FootnoteReference"/>
        </w:rPr>
        <w:footnoteReference w:id="5"/>
      </w:r>
      <w:r w:rsidR="00BE5940">
        <w:t xml:space="preserve"> </w:t>
      </w:r>
      <w:r>
        <w:t>AAE effects arise when a reflexive</w:t>
      </w:r>
      <w:r w:rsidR="00BE5940">
        <w:t xml:space="preserve"> must </w:t>
      </w:r>
      <w:r>
        <w:t xml:space="preserve">value </w:t>
      </w:r>
      <w:r>
        <w:rPr>
          <w:i/>
        </w:rPr>
        <w:t>overt</w:t>
      </w:r>
      <w:r>
        <w:t xml:space="preserve"> phi features. This licenses</w:t>
      </w:r>
      <w:r w:rsidR="008868A0">
        <w:t xml:space="preserve"> </w:t>
      </w:r>
      <w:r w:rsidR="002B627E">
        <w:t>the following generalization:</w:t>
      </w:r>
      <w:r>
        <w:t xml:space="preserve"> phi-agreement is</w:t>
      </w:r>
      <w:r w:rsidR="008868A0">
        <w:t xml:space="preserve"> </w:t>
      </w:r>
      <w:r w:rsidR="008868A0">
        <w:rPr>
          <w:i/>
        </w:rPr>
        <w:t>never</w:t>
      </w:r>
      <w:r w:rsidR="00C82CA1">
        <w:t xml:space="preserve"> abstract</w:t>
      </w:r>
      <w:r w:rsidR="00597169">
        <w:t xml:space="preserve"> </w:t>
      </w:r>
      <w:r>
        <w:t xml:space="preserve">(i.e. involving </w:t>
      </w:r>
      <w:r w:rsidR="00A7713E">
        <w:t xml:space="preserve">morphologically </w:t>
      </w:r>
      <w:r w:rsidR="00597169">
        <w:t>covert</w:t>
      </w:r>
      <w:r>
        <w:t xml:space="preserve"> phi-features</w:t>
      </w:r>
      <w:r w:rsidR="00AE5D4B">
        <w:t>)</w:t>
      </w:r>
      <w:r>
        <w:t>. C</w:t>
      </w:r>
      <w:r w:rsidR="002B627E">
        <w:t>all this</w:t>
      </w:r>
      <w:r>
        <w:t xml:space="preserve"> Preminger’s </w:t>
      </w:r>
      <w:proofErr w:type="spellStart"/>
      <w:r>
        <w:t>Generalizaton</w:t>
      </w:r>
      <w:proofErr w:type="spellEnd"/>
      <w:r>
        <w:t xml:space="preserve"> (PG)</w:t>
      </w:r>
      <w:r w:rsidR="00C82CA1">
        <w:t xml:space="preserve">. </w:t>
      </w:r>
    </w:p>
    <w:p w14:paraId="21769596" w14:textId="77777777" w:rsidR="006F5B95" w:rsidRDefault="006F5B95"/>
    <w:p w14:paraId="2D3A85E5" w14:textId="71349B57" w:rsidR="00A92C53" w:rsidRDefault="001442C2">
      <w:r>
        <w:t>What follows</w:t>
      </w:r>
      <w:r w:rsidR="006F5B95">
        <w:t xml:space="preserve"> provide</w:t>
      </w:r>
      <w:r>
        <w:t>s evidence that things are not this simple</w:t>
      </w:r>
      <w:r w:rsidR="006F5B95">
        <w:t xml:space="preserve">. In particular, </w:t>
      </w:r>
      <w:r w:rsidR="00E25342">
        <w:t>this squib argues for two conclusions: (</w:t>
      </w:r>
      <w:proofErr w:type="spellStart"/>
      <w:r w:rsidR="00E25342">
        <w:t>i</w:t>
      </w:r>
      <w:proofErr w:type="spellEnd"/>
      <w:r w:rsidR="00E25342">
        <w:t xml:space="preserve">) </w:t>
      </w:r>
      <w:r w:rsidR="00AF1383">
        <w:t>that</w:t>
      </w:r>
      <w:r w:rsidR="00E25342">
        <w:t xml:space="preserve"> </w:t>
      </w:r>
      <w:r w:rsidR="00AF1383">
        <w:t xml:space="preserve">if AAE is a reliable indicator of agreement, then </w:t>
      </w:r>
      <w:r w:rsidR="006F5B95">
        <w:t>I</w:t>
      </w:r>
      <w:r w:rsidR="00E25342">
        <w:t>celandic provides evidence that</w:t>
      </w:r>
      <w:r w:rsidR="00170112">
        <w:t xml:space="preserve"> abstract </w:t>
      </w:r>
      <w:r w:rsidR="006F5B95">
        <w:t xml:space="preserve">agreement </w:t>
      </w:r>
      <w:r w:rsidR="00170112">
        <w:t>exists</w:t>
      </w:r>
      <w:r w:rsidR="00AF1383">
        <w:t xml:space="preserve"> (i.e. PG is too strong), </w:t>
      </w:r>
      <w:r w:rsidR="00E25342">
        <w:t xml:space="preserve">and (ii) </w:t>
      </w:r>
      <w:r w:rsidR="00AF1383">
        <w:t xml:space="preserve">that </w:t>
      </w:r>
      <w:r w:rsidR="00C37E94">
        <w:t>classical case theory</w:t>
      </w:r>
      <w:r w:rsidR="005A54B6">
        <w:t xml:space="preserve"> (CCT)</w:t>
      </w:r>
      <w:r w:rsidR="00C37E94">
        <w:t>, but not dependent case theory</w:t>
      </w:r>
      <w:r w:rsidR="005A54B6">
        <w:t xml:space="preserve"> (DCT)</w:t>
      </w:r>
      <w:r w:rsidR="00C37E94">
        <w:t xml:space="preserve">, can explain these AAE effects in Icelandic. </w:t>
      </w:r>
      <w:r w:rsidR="00415DEB">
        <w:t xml:space="preserve">Let’s consider the details. </w:t>
      </w:r>
    </w:p>
    <w:p w14:paraId="6963625E" w14:textId="77777777" w:rsidR="00A92C53" w:rsidRDefault="00A92C53"/>
    <w:p w14:paraId="058DABA8" w14:textId="5159CF3E" w:rsidR="00AF770E" w:rsidRDefault="00AF770E" w:rsidP="00AF770E">
      <w:pPr>
        <w:pStyle w:val="ListParagraph"/>
        <w:numPr>
          <w:ilvl w:val="0"/>
          <w:numId w:val="1"/>
        </w:numPr>
      </w:pPr>
      <w:r>
        <w:t>The Data</w:t>
      </w:r>
      <w:r w:rsidR="000973D5">
        <w:rPr>
          <w:rStyle w:val="FootnoteReference"/>
        </w:rPr>
        <w:footnoteReference w:id="6"/>
      </w:r>
    </w:p>
    <w:p w14:paraId="26FF0222" w14:textId="77777777" w:rsidR="00AF770E" w:rsidRDefault="00AF770E" w:rsidP="00AF770E"/>
    <w:p w14:paraId="6CDA31F9" w14:textId="46F7C5E5" w:rsidR="00AF770E" w:rsidRDefault="00AF770E" w:rsidP="00AF770E">
      <w:r>
        <w:t>Here is a schematic of the relevant data.  Icelandic has nominative objects in quirky case dative subject</w:t>
      </w:r>
      <w:r w:rsidR="008F407E">
        <w:t xml:space="preserve"> constructions</w:t>
      </w:r>
      <w:r>
        <w:t>. Thus structures like (1) are well formed:</w:t>
      </w:r>
    </w:p>
    <w:p w14:paraId="5E634FF3" w14:textId="77777777" w:rsidR="00AF770E" w:rsidRDefault="00AF770E" w:rsidP="00AF770E"/>
    <w:p w14:paraId="2EC7989E" w14:textId="2AD15E0A" w:rsidR="00AF770E" w:rsidRDefault="00AF770E" w:rsidP="00AF770E">
      <w:pPr>
        <w:pStyle w:val="ListParagraph"/>
        <w:numPr>
          <w:ilvl w:val="0"/>
          <w:numId w:val="2"/>
        </w:numPr>
      </w:pPr>
      <w:proofErr w:type="spellStart"/>
      <w:r>
        <w:t>DP</w:t>
      </w:r>
      <w:r>
        <w:rPr>
          <w:vertAlign w:val="subscript"/>
        </w:rPr>
        <w:t>Dat</w:t>
      </w:r>
      <w:proofErr w:type="spellEnd"/>
      <w:r>
        <w:t xml:space="preserve"> </w:t>
      </w:r>
      <w:proofErr w:type="spellStart"/>
      <w:r>
        <w:t>T</w:t>
      </w:r>
      <w:r w:rsidRPr="00AF770E">
        <w:rPr>
          <w:vertAlign w:val="superscript"/>
        </w:rPr>
        <w:t>+Fin</w:t>
      </w:r>
      <w:proofErr w:type="spellEnd"/>
      <w:r>
        <w:t xml:space="preserve"> V </w:t>
      </w:r>
      <w:proofErr w:type="spellStart"/>
      <w:r>
        <w:t>DP</w:t>
      </w:r>
      <w:r>
        <w:rPr>
          <w:vertAlign w:val="subscript"/>
        </w:rPr>
        <w:t>Nom</w:t>
      </w:r>
      <w:proofErr w:type="spellEnd"/>
    </w:p>
    <w:p w14:paraId="3E349793" w14:textId="77777777" w:rsidR="00AF770E" w:rsidRDefault="00AF770E" w:rsidP="00AF770E"/>
    <w:p w14:paraId="32A883CD" w14:textId="42F7BA0A" w:rsidR="002D516F" w:rsidRDefault="008F407E" w:rsidP="00AF770E">
      <w:r>
        <w:t>In structures like (1),</w:t>
      </w:r>
      <w:r w:rsidR="00AF770E">
        <w:t xml:space="preserve"> </w:t>
      </w:r>
      <w:proofErr w:type="spellStart"/>
      <w:r w:rsidR="00AF770E">
        <w:t>T</w:t>
      </w:r>
      <w:r w:rsidR="00AF770E">
        <w:rPr>
          <w:vertAlign w:val="superscript"/>
        </w:rPr>
        <w:t>+Fin</w:t>
      </w:r>
      <w:proofErr w:type="spellEnd"/>
      <w:r w:rsidR="00482AFB">
        <w:t xml:space="preserve"> can bear plural features, which, when they occur,</w:t>
      </w:r>
      <w:r w:rsidR="00AF770E">
        <w:t xml:space="preserve"> are obligatorily valued by </w:t>
      </w:r>
      <w:r>
        <w:t xml:space="preserve">those of </w:t>
      </w:r>
      <w:proofErr w:type="spellStart"/>
      <w:r w:rsidR="00AF770E">
        <w:t>DP</w:t>
      </w:r>
      <w:r w:rsidR="00AF770E">
        <w:rPr>
          <w:vertAlign w:val="subscript"/>
        </w:rPr>
        <w:t>Nom</w:t>
      </w:r>
      <w:proofErr w:type="spellEnd"/>
      <w:r w:rsidR="00AF770E">
        <w:t>.</w:t>
      </w:r>
      <w:r w:rsidR="00E21F3F">
        <w:rPr>
          <w:rStyle w:val="FootnoteReference"/>
        </w:rPr>
        <w:footnoteReference w:id="7"/>
      </w:r>
      <w:r w:rsidR="00AF770E">
        <w:t xml:space="preserve"> </w:t>
      </w:r>
      <w:r w:rsidR="00DE6367">
        <w:t>Furthermo</w:t>
      </w:r>
      <w:r w:rsidR="00482AFB">
        <w:t>re, this</w:t>
      </w:r>
      <w:r w:rsidR="002D516F">
        <w:t xml:space="preserve"> feature </w:t>
      </w:r>
      <w:r w:rsidR="00AF770E">
        <w:t xml:space="preserve">agreement </w:t>
      </w:r>
      <w:r w:rsidR="002D516F">
        <w:t xml:space="preserve">with </w:t>
      </w:r>
      <w:proofErr w:type="spellStart"/>
      <w:r w:rsidR="002D516F">
        <w:t>DP</w:t>
      </w:r>
      <w:r w:rsidR="002D516F">
        <w:rPr>
          <w:vertAlign w:val="subscript"/>
        </w:rPr>
        <w:t>Nom</w:t>
      </w:r>
      <w:proofErr w:type="spellEnd"/>
      <w:r w:rsidR="002D516F">
        <w:t xml:space="preserve"> </w:t>
      </w:r>
      <w:r w:rsidR="00DE6367">
        <w:t xml:space="preserve">in (1) </w:t>
      </w:r>
      <w:r w:rsidR="002D516F">
        <w:t>is morphologically overt</w:t>
      </w:r>
      <w:r w:rsidR="00DE6367">
        <w:t xml:space="preserve"> and appears</w:t>
      </w:r>
      <w:r w:rsidR="00AF770E">
        <w:t xml:space="preserve"> on the predicate</w:t>
      </w:r>
      <w:r w:rsidR="00DE6367">
        <w:t>, presumably due to</w:t>
      </w:r>
      <w:r w:rsidR="003815FB">
        <w:t xml:space="preserve"> </w:t>
      </w:r>
      <w:r w:rsidR="001A4781">
        <w:t>(</w:t>
      </w:r>
      <w:r w:rsidR="003815FB">
        <w:t>some operation analogous to</w:t>
      </w:r>
      <w:r w:rsidR="001A4781">
        <w:t>)</w:t>
      </w:r>
      <w:r w:rsidR="00DE6367">
        <w:t xml:space="preserve"> V to T </w:t>
      </w:r>
      <w:proofErr w:type="gramStart"/>
      <w:r w:rsidR="00DE6367">
        <w:t>raising</w:t>
      </w:r>
      <w:proofErr w:type="gramEnd"/>
      <w:r w:rsidR="002D516F">
        <w:t>.</w:t>
      </w:r>
    </w:p>
    <w:p w14:paraId="7C7681E7" w14:textId="77777777" w:rsidR="002D516F" w:rsidRDefault="002D516F" w:rsidP="00AF770E"/>
    <w:p w14:paraId="69627DAA" w14:textId="52B1C5BA" w:rsidR="002D516F" w:rsidRDefault="002D516F" w:rsidP="00B8596D">
      <w:pPr>
        <w:pStyle w:val="ListParagraph"/>
        <w:numPr>
          <w:ilvl w:val="0"/>
          <w:numId w:val="2"/>
        </w:numPr>
      </w:pPr>
      <w:r>
        <w:t>DP</w:t>
      </w:r>
      <w:r w:rsidRPr="00B8596D">
        <w:rPr>
          <w:vertAlign w:val="superscript"/>
        </w:rPr>
        <w:t>1</w:t>
      </w:r>
      <w:r w:rsidRPr="00B8596D">
        <w:rPr>
          <w:vertAlign w:val="subscript"/>
        </w:rPr>
        <w:t>Dat</w:t>
      </w:r>
      <w:proofErr w:type="gramStart"/>
      <w:r w:rsidRPr="00B8596D">
        <w:rPr>
          <w:vertAlign w:val="subscript"/>
        </w:rPr>
        <w:t>,p</w:t>
      </w:r>
      <w:r w:rsidR="00482AFB">
        <w:rPr>
          <w:vertAlign w:val="subscript"/>
        </w:rPr>
        <w:t>l</w:t>
      </w:r>
      <w:proofErr w:type="gramEnd"/>
      <w:r>
        <w:t xml:space="preserve"> </w:t>
      </w:r>
      <w:proofErr w:type="spellStart"/>
      <w:r>
        <w:t>V+T</w:t>
      </w:r>
      <w:r w:rsidR="00482AFB">
        <w:rPr>
          <w:vertAlign w:val="superscript"/>
        </w:rPr>
        <w:t>+Fin</w:t>
      </w:r>
      <w:proofErr w:type="spellEnd"/>
      <w:r w:rsidR="00482AFB">
        <w:rPr>
          <w:vertAlign w:val="superscript"/>
        </w:rPr>
        <w:t xml:space="preserve">, </w:t>
      </w:r>
      <w:proofErr w:type="spellStart"/>
      <w:r w:rsidR="00482AFB">
        <w:rPr>
          <w:vertAlign w:val="superscript"/>
        </w:rPr>
        <w:t>pl</w:t>
      </w:r>
      <w:proofErr w:type="spellEnd"/>
      <w:r w:rsidRPr="00B8596D">
        <w:rPr>
          <w:vertAlign w:val="superscript"/>
        </w:rPr>
        <w:t xml:space="preserve"> (*1/2)</w:t>
      </w:r>
      <w:r>
        <w:t xml:space="preserve"> DP</w:t>
      </w:r>
      <w:r w:rsidRPr="00B8596D">
        <w:rPr>
          <w:vertAlign w:val="superscript"/>
        </w:rPr>
        <w:t>2</w:t>
      </w:r>
      <w:r w:rsidRPr="00B8596D">
        <w:rPr>
          <w:vertAlign w:val="subscript"/>
        </w:rPr>
        <w:t xml:space="preserve">Nom, </w:t>
      </w:r>
      <w:proofErr w:type="spellStart"/>
      <w:r w:rsidRPr="00B8596D">
        <w:rPr>
          <w:vertAlign w:val="subscript"/>
        </w:rPr>
        <w:t>p</w:t>
      </w:r>
      <w:r w:rsidR="00082391">
        <w:rPr>
          <w:vertAlign w:val="subscript"/>
        </w:rPr>
        <w:t>l</w:t>
      </w:r>
      <w:proofErr w:type="spellEnd"/>
    </w:p>
    <w:p w14:paraId="61A7375B" w14:textId="77777777" w:rsidR="00B8596D" w:rsidRDefault="00B8596D" w:rsidP="00B8596D"/>
    <w:p w14:paraId="26324D95" w14:textId="23AB3EE7" w:rsidR="00B8596D" w:rsidRDefault="00B8596D" w:rsidP="00B8596D">
      <w:r>
        <w:t>This is all old hat, and fully expected given standard assumptions</w:t>
      </w:r>
      <w:r w:rsidR="004D3B45">
        <w:t>.</w:t>
      </w:r>
      <w:r w:rsidR="004D3B45">
        <w:rPr>
          <w:rStyle w:val="FootnoteReference"/>
        </w:rPr>
        <w:footnoteReference w:id="8"/>
      </w:r>
      <w:r w:rsidR="004D3B45">
        <w:t xml:space="preserve"> </w:t>
      </w:r>
      <w:r w:rsidR="00341698">
        <w:t>Here’s the new stuff. Icelandic allows infinitives in configurations like (3) where the matrix V is a raising verb:</w:t>
      </w:r>
    </w:p>
    <w:p w14:paraId="5992ACE4" w14:textId="77777777" w:rsidR="00341698" w:rsidRDefault="00341698" w:rsidP="00B8596D"/>
    <w:p w14:paraId="6A81690E" w14:textId="63E13939" w:rsidR="00341698" w:rsidRDefault="00341698" w:rsidP="00341698">
      <w:pPr>
        <w:pStyle w:val="ListParagraph"/>
        <w:numPr>
          <w:ilvl w:val="0"/>
          <w:numId w:val="2"/>
        </w:numPr>
      </w:pPr>
      <w:r>
        <w:t>[DP</w:t>
      </w:r>
      <w:r w:rsidR="003C4A83">
        <w:rPr>
          <w:vertAlign w:val="superscript"/>
        </w:rPr>
        <w:t>1</w:t>
      </w:r>
      <w:r>
        <w:t xml:space="preserve"> </w:t>
      </w:r>
      <w:proofErr w:type="spellStart"/>
      <w:r w:rsidRPr="00341698">
        <w:rPr>
          <w:vertAlign w:val="subscript"/>
        </w:rPr>
        <w:t>Dat</w:t>
      </w:r>
      <w:proofErr w:type="spellEnd"/>
      <w:r>
        <w:t xml:space="preserve"> </w:t>
      </w:r>
      <w:proofErr w:type="spellStart"/>
      <w:r>
        <w:t>T</w:t>
      </w:r>
      <w:r w:rsidRPr="00341698">
        <w:rPr>
          <w:vertAlign w:val="superscript"/>
        </w:rPr>
        <w:t>+Fin</w:t>
      </w:r>
      <w:proofErr w:type="spellEnd"/>
      <w:r>
        <w:t xml:space="preserve"> V [DP</w:t>
      </w:r>
      <w:r w:rsidRPr="00341698">
        <w:rPr>
          <w:vertAlign w:val="superscript"/>
        </w:rPr>
        <w:t>2</w:t>
      </w:r>
      <w:r>
        <w:t xml:space="preserve"> </w:t>
      </w:r>
      <w:proofErr w:type="spellStart"/>
      <w:r w:rsidRPr="00341698">
        <w:rPr>
          <w:vertAlign w:val="subscript"/>
        </w:rPr>
        <w:t>Dat</w:t>
      </w:r>
      <w:proofErr w:type="spellEnd"/>
      <w:r>
        <w:t xml:space="preserve"> T</w:t>
      </w:r>
      <w:r w:rsidRPr="00341698">
        <w:rPr>
          <w:vertAlign w:val="superscript"/>
        </w:rPr>
        <w:t>-Fin</w:t>
      </w:r>
      <w:r>
        <w:t xml:space="preserve"> V DP</w:t>
      </w:r>
      <w:r w:rsidRPr="00341698">
        <w:rPr>
          <w:vertAlign w:val="superscript"/>
        </w:rPr>
        <w:t>3</w:t>
      </w:r>
      <w:r>
        <w:t xml:space="preserve"> </w:t>
      </w:r>
      <w:r w:rsidRPr="00341698">
        <w:rPr>
          <w:vertAlign w:val="subscript"/>
        </w:rPr>
        <w:t>Nom</w:t>
      </w:r>
      <w:r>
        <w:t>]]</w:t>
      </w:r>
    </w:p>
    <w:p w14:paraId="2A3504D0" w14:textId="77777777" w:rsidR="00341698" w:rsidRDefault="00341698" w:rsidP="00341698"/>
    <w:p w14:paraId="663AA268" w14:textId="2DE88A70" w:rsidR="003A36FF" w:rsidRDefault="00341698" w:rsidP="00AF770E">
      <w:r>
        <w:t xml:space="preserve">The significant </w:t>
      </w:r>
      <w:proofErr w:type="gramStart"/>
      <w:r>
        <w:t>facts for our</w:t>
      </w:r>
      <w:r w:rsidR="0068704E">
        <w:t xml:space="preserve"> purposes is</w:t>
      </w:r>
      <w:proofErr w:type="gramEnd"/>
      <w:r w:rsidR="0068704E">
        <w:t xml:space="preserve"> that the embedded clause is non-finite and </w:t>
      </w:r>
      <w:r w:rsidR="00FE2D3C">
        <w:t xml:space="preserve">bears </w:t>
      </w:r>
      <w:r w:rsidR="0068704E">
        <w:t xml:space="preserve">no overt agreement morphology. And here is the kicker: </w:t>
      </w:r>
      <w:r w:rsidR="003A36FF">
        <w:t xml:space="preserve">locally bound </w:t>
      </w:r>
      <w:r w:rsidR="0068704E">
        <w:t xml:space="preserve">simplex </w:t>
      </w:r>
      <w:r w:rsidR="00D74844">
        <w:t xml:space="preserve">nominative </w:t>
      </w:r>
      <w:r w:rsidR="0068704E">
        <w:t>reflexives</w:t>
      </w:r>
      <w:r w:rsidR="00143A6A">
        <w:t xml:space="preserve"> (</w:t>
      </w:r>
      <w:r w:rsidR="00143A6A">
        <w:rPr>
          <w:i/>
        </w:rPr>
        <w:t>sig</w:t>
      </w:r>
      <w:r w:rsidR="00143A6A">
        <w:t>)</w:t>
      </w:r>
      <w:r w:rsidR="0068704E">
        <w:t xml:space="preserve"> are barred from the DP</w:t>
      </w:r>
      <w:r w:rsidR="0068704E">
        <w:rPr>
          <w:vertAlign w:val="superscript"/>
        </w:rPr>
        <w:t>3</w:t>
      </w:r>
      <w:r w:rsidR="0068704E">
        <w:t xml:space="preserve"> position.</w:t>
      </w:r>
      <w:r w:rsidR="0068704E">
        <w:rPr>
          <w:rStyle w:val="FootnoteReference"/>
        </w:rPr>
        <w:footnoteReference w:id="9"/>
      </w:r>
      <w:r w:rsidR="003A36FF">
        <w:t xml:space="preserve"> </w:t>
      </w:r>
    </w:p>
    <w:p w14:paraId="18B5C904" w14:textId="77777777" w:rsidR="003A36FF" w:rsidRDefault="003A36FF" w:rsidP="00AF770E"/>
    <w:p w14:paraId="10ED4A97" w14:textId="206A508B" w:rsidR="003A36FF" w:rsidRDefault="003A36FF" w:rsidP="00AF770E">
      <w:r>
        <w:tab/>
        <w:t>(4) *[DP</w:t>
      </w:r>
      <w:r w:rsidR="00884075">
        <w:rPr>
          <w:vertAlign w:val="superscript"/>
        </w:rPr>
        <w:t>1</w:t>
      </w:r>
      <w:r>
        <w:t xml:space="preserve"> </w:t>
      </w:r>
      <w:proofErr w:type="spellStart"/>
      <w:r w:rsidRPr="00341698">
        <w:rPr>
          <w:vertAlign w:val="subscript"/>
        </w:rPr>
        <w:t>Dat</w:t>
      </w:r>
      <w:proofErr w:type="spellEnd"/>
      <w:r>
        <w:t xml:space="preserve"> </w:t>
      </w:r>
      <w:proofErr w:type="spellStart"/>
      <w:r>
        <w:t>T</w:t>
      </w:r>
      <w:r w:rsidRPr="00341698">
        <w:rPr>
          <w:vertAlign w:val="superscript"/>
        </w:rPr>
        <w:t>+Fin</w:t>
      </w:r>
      <w:proofErr w:type="spellEnd"/>
      <w:r>
        <w:t xml:space="preserve"> V [DP</w:t>
      </w:r>
      <w:r w:rsidRPr="00341698">
        <w:rPr>
          <w:vertAlign w:val="superscript"/>
        </w:rPr>
        <w:t>2</w:t>
      </w:r>
      <w:r>
        <w:t xml:space="preserve"> </w:t>
      </w:r>
      <w:r w:rsidRPr="00341698">
        <w:rPr>
          <w:vertAlign w:val="subscript"/>
        </w:rPr>
        <w:t>Dat</w:t>
      </w:r>
      <w:r>
        <w:rPr>
          <w:vertAlign w:val="subscript"/>
        </w:rPr>
        <w:t>1</w:t>
      </w:r>
      <w:r>
        <w:t xml:space="preserve"> T</w:t>
      </w:r>
      <w:r w:rsidRPr="00341698">
        <w:rPr>
          <w:vertAlign w:val="superscript"/>
        </w:rPr>
        <w:t>-Fin</w:t>
      </w:r>
      <w:r>
        <w:t xml:space="preserve"> V </w:t>
      </w:r>
      <w:r w:rsidR="00884075">
        <w:t>[</w:t>
      </w:r>
      <w:r w:rsidR="00884075">
        <w:rPr>
          <w:vertAlign w:val="subscript"/>
        </w:rPr>
        <w:t>DP</w:t>
      </w:r>
      <w:r w:rsidR="00762950">
        <w:rPr>
          <w:vertAlign w:val="superscript"/>
        </w:rPr>
        <w:t>3</w:t>
      </w:r>
      <w:r w:rsidR="00884075">
        <w:t xml:space="preserve"> </w:t>
      </w:r>
      <w:r>
        <w:t>Reflexive</w:t>
      </w:r>
      <w:r w:rsidR="00D74844">
        <w:t xml:space="preserve"> (i.e. </w:t>
      </w:r>
      <w:r w:rsidR="00143A6A">
        <w:t>sig</w:t>
      </w:r>
      <w:r>
        <w:t xml:space="preserve"> </w:t>
      </w:r>
      <w:r w:rsidRPr="00341698">
        <w:rPr>
          <w:vertAlign w:val="subscript"/>
        </w:rPr>
        <w:t>Nom</w:t>
      </w:r>
      <w:r>
        <w:rPr>
          <w:vertAlign w:val="subscript"/>
        </w:rPr>
        <w:t>1</w:t>
      </w:r>
      <w:r w:rsidR="00D74844">
        <w:t>)</w:t>
      </w:r>
      <w:r w:rsidR="00884075">
        <w:t>]</w:t>
      </w:r>
      <w:r>
        <w:t>]]</w:t>
      </w:r>
    </w:p>
    <w:p w14:paraId="7A5335CE" w14:textId="77777777" w:rsidR="003A36FF" w:rsidRDefault="003A36FF" w:rsidP="00AF770E"/>
    <w:p w14:paraId="5E176E4D" w14:textId="4E08F65B" w:rsidR="002D516F" w:rsidRDefault="003A36FF" w:rsidP="00AF770E">
      <w:r>
        <w:t xml:space="preserve">This suggests that the AAE applies here just as it does in (1). However, </w:t>
      </w:r>
      <w:r w:rsidR="001A672F">
        <w:t>for the</w:t>
      </w:r>
      <w:r>
        <w:t xml:space="preserve"> AAE to</w:t>
      </w:r>
      <w:r w:rsidR="001A672F">
        <w:t xml:space="preserve"> hold in</w:t>
      </w:r>
      <w:r>
        <w:t xml:space="preserve"> the em</w:t>
      </w:r>
      <w:r w:rsidR="00707D9D">
        <w:t xml:space="preserve">bedded clause requires </w:t>
      </w:r>
      <w:r w:rsidR="00130639">
        <w:t>covert (plural) phi</w:t>
      </w:r>
      <w:r>
        <w:t xml:space="preserve"> features on the embedded T</w:t>
      </w:r>
      <w:r>
        <w:rPr>
          <w:vertAlign w:val="superscript"/>
        </w:rPr>
        <w:t>-Fin</w:t>
      </w:r>
      <w:r>
        <w:t xml:space="preserve">. </w:t>
      </w:r>
    </w:p>
    <w:p w14:paraId="63C31894" w14:textId="77777777" w:rsidR="00ED4FE6" w:rsidRDefault="00ED4FE6" w:rsidP="00AF770E"/>
    <w:p w14:paraId="4E92C36D" w14:textId="61360A7B" w:rsidR="00ED4FE6" w:rsidRDefault="00ED4FE6" w:rsidP="00AF770E">
      <w:r>
        <w:t>In sum, we can bring the data in (4) under the purview of the AAE if we assume</w:t>
      </w:r>
      <w:r w:rsidR="00CA35F1">
        <w:t>, contra PG,</w:t>
      </w:r>
      <w:r>
        <w:t xml:space="preserve"> that the embedded T</w:t>
      </w:r>
      <w:r>
        <w:rPr>
          <w:vertAlign w:val="superscript"/>
        </w:rPr>
        <w:t>-Fin</w:t>
      </w:r>
      <w:r>
        <w:t xml:space="preserve"> h</w:t>
      </w:r>
      <w:r w:rsidR="00442E79">
        <w:t xml:space="preserve">as a complement of </w:t>
      </w:r>
      <w:r w:rsidR="00FB622E">
        <w:t xml:space="preserve">morphologically covert </w:t>
      </w:r>
      <w:r w:rsidR="00082391">
        <w:t xml:space="preserve">(plural) </w:t>
      </w:r>
      <w:r w:rsidR="00442E79">
        <w:t>phi features</w:t>
      </w:r>
      <w:r w:rsidR="00FB622E">
        <w:t xml:space="preserve"> in configurations like (3) and (4)</w:t>
      </w:r>
      <w:r w:rsidR="00082391">
        <w:t xml:space="preserve"> (i.e. just as in finite (1)/(2))</w:t>
      </w:r>
      <w:r w:rsidR="00CA35F1">
        <w:t xml:space="preserve">. </w:t>
      </w:r>
    </w:p>
    <w:p w14:paraId="6643A86F" w14:textId="77777777" w:rsidR="000B34DB" w:rsidRDefault="000B34DB" w:rsidP="00AF770E"/>
    <w:p w14:paraId="4CA1A907" w14:textId="186E9D5F" w:rsidR="000B34DB" w:rsidRDefault="00F02D72" w:rsidP="000B34DB">
      <w:pPr>
        <w:pStyle w:val="ListParagraph"/>
        <w:numPr>
          <w:ilvl w:val="0"/>
          <w:numId w:val="1"/>
        </w:numPr>
      </w:pPr>
      <w:r>
        <w:t>Consequences for Case T</w:t>
      </w:r>
      <w:r w:rsidR="000B34DB">
        <w:t>heory</w:t>
      </w:r>
    </w:p>
    <w:p w14:paraId="70DE514C" w14:textId="77777777" w:rsidR="000B34DB" w:rsidRDefault="000B34DB" w:rsidP="000B34DB"/>
    <w:p w14:paraId="0F3C8F95" w14:textId="786780A0" w:rsidR="00F02D72" w:rsidRDefault="00442E79" w:rsidP="000B34DB">
      <w:r>
        <w:t xml:space="preserve">The data as presented is consistent with dependent case theory (DCT) if </w:t>
      </w:r>
      <w:r w:rsidR="00F02D72">
        <w:t>we assume that the embedded non-</w:t>
      </w:r>
      <w:r>
        <w:t xml:space="preserve">finite T </w:t>
      </w:r>
      <w:r w:rsidR="00F02D72">
        <w:t xml:space="preserve">obligatorily </w:t>
      </w:r>
      <w:r w:rsidR="00C90B62">
        <w:t>comes with</w:t>
      </w:r>
      <w:r w:rsidR="001B1F07">
        <w:t xml:space="preserve"> the relevant</w:t>
      </w:r>
      <w:r>
        <w:t xml:space="preserve"> </w:t>
      </w:r>
      <w:r w:rsidR="00F02D72">
        <w:t xml:space="preserve">unvalued </w:t>
      </w:r>
      <w:r w:rsidR="00FC660E">
        <w:t xml:space="preserve">plural </w:t>
      </w:r>
      <w:r w:rsidR="00F02D72">
        <w:t>phi features. Here is the story</w:t>
      </w:r>
      <w:r>
        <w:t xml:space="preserve">. </w:t>
      </w:r>
    </w:p>
    <w:p w14:paraId="06C1E117" w14:textId="77777777" w:rsidR="00F02D72" w:rsidRDefault="00F02D72" w:rsidP="000B34DB"/>
    <w:p w14:paraId="54BD32CC" w14:textId="2B13E4D7" w:rsidR="00F02D72" w:rsidRDefault="00442E79" w:rsidP="000B34DB">
      <w:r>
        <w:t>The embedded object will be marked nominative given standard DCT assumptions</w:t>
      </w:r>
      <w:r w:rsidR="00F02D72">
        <w:t xml:space="preserve">. Furthermore, </w:t>
      </w:r>
      <w:r w:rsidR="00A5675A">
        <w:t xml:space="preserve">obligatory </w:t>
      </w:r>
      <w:r>
        <w:t xml:space="preserve">agreement </w:t>
      </w:r>
      <w:r w:rsidR="00F02D72">
        <w:t xml:space="preserve">will obtain between the unvalued </w:t>
      </w:r>
      <w:r w:rsidR="00D70F75">
        <w:t xml:space="preserve">plural </w:t>
      </w:r>
      <w:r w:rsidR="00F02D72">
        <w:t>phi-features on</w:t>
      </w:r>
      <w:r>
        <w:t xml:space="preserve"> T</w:t>
      </w:r>
      <w:r>
        <w:rPr>
          <w:vertAlign w:val="superscript"/>
        </w:rPr>
        <w:t>-Fin</w:t>
      </w:r>
      <w:r>
        <w:t xml:space="preserve"> </w:t>
      </w:r>
      <w:r w:rsidR="00A5675A">
        <w:t>and</w:t>
      </w:r>
      <w:r>
        <w:t xml:space="preserve"> the nominative</w:t>
      </w:r>
      <w:r w:rsidR="00F02D72">
        <w:t xml:space="preserve"> case marked</w:t>
      </w:r>
      <w:r>
        <w:t xml:space="preserve"> DP</w:t>
      </w:r>
      <w:r w:rsidR="00F02D72">
        <w:t>. This obligatory agreement</w:t>
      </w:r>
      <w:r>
        <w:t xml:space="preserve"> </w:t>
      </w:r>
      <w:r w:rsidR="00A5675A">
        <w:t>wil</w:t>
      </w:r>
      <w:r w:rsidR="00F02D72">
        <w:t xml:space="preserve">l then trigger the AAE thereby blocking a simplex </w:t>
      </w:r>
      <w:r w:rsidR="008048C9">
        <w:t xml:space="preserve">nominative </w:t>
      </w:r>
      <w:r w:rsidR="00F02D72">
        <w:t>reflexive</w:t>
      </w:r>
      <w:r w:rsidR="00A23570">
        <w:t xml:space="preserve"> </w:t>
      </w:r>
      <w:r w:rsidR="00A23570">
        <w:rPr>
          <w:i/>
        </w:rPr>
        <w:t>sig</w:t>
      </w:r>
      <w:r w:rsidR="00F02D72">
        <w:t xml:space="preserve"> from appearing in</w:t>
      </w:r>
      <w:r w:rsidR="00E2188F">
        <w:t xml:space="preserve"> position D</w:t>
      </w:r>
      <w:r w:rsidR="00F02D72">
        <w:t>.</w:t>
      </w:r>
      <w:r w:rsidR="00A5675A">
        <w:t xml:space="preserve"> </w:t>
      </w:r>
    </w:p>
    <w:p w14:paraId="788BEDAF" w14:textId="77777777" w:rsidR="00F02D72" w:rsidRDefault="00F02D72" w:rsidP="000B34DB"/>
    <w:p w14:paraId="367677AF" w14:textId="116A31AF" w:rsidR="000B34DB" w:rsidRDefault="00F02D72" w:rsidP="000B34DB">
      <w:r>
        <w:t>T</w:t>
      </w:r>
      <w:r w:rsidR="00AD2F73">
        <w:t>his account</w:t>
      </w:r>
      <w:r>
        <w:t>, however,</w:t>
      </w:r>
      <w:r w:rsidR="00AD2F73">
        <w:t xml:space="preserve"> raises a question</w:t>
      </w:r>
      <w:r w:rsidR="00894BEB">
        <w:t xml:space="preserve">: what forces covert </w:t>
      </w:r>
      <w:r w:rsidR="00D70F75">
        <w:t xml:space="preserve">plural </w:t>
      </w:r>
      <w:r w:rsidR="00894BEB">
        <w:t>phi features on the embedded T</w:t>
      </w:r>
      <w:r w:rsidR="00894BEB">
        <w:rPr>
          <w:vertAlign w:val="superscript"/>
        </w:rPr>
        <w:t>-Fin</w:t>
      </w:r>
      <w:r w:rsidR="00894BEB">
        <w:t xml:space="preserve">? </w:t>
      </w:r>
      <w:r>
        <w:t xml:space="preserve">More specifically, what stops the grammar from generating an embedded non-finite </w:t>
      </w:r>
      <w:r w:rsidR="00894BEB">
        <w:t>T</w:t>
      </w:r>
      <w:r w:rsidR="00894BEB">
        <w:rPr>
          <w:vertAlign w:val="superscript"/>
        </w:rPr>
        <w:t>-Fin</w:t>
      </w:r>
      <w:r>
        <w:t xml:space="preserve"> without </w:t>
      </w:r>
      <w:r w:rsidR="008048C9">
        <w:t xml:space="preserve">the relevant </w:t>
      </w:r>
      <w:r w:rsidR="00D70F75">
        <w:t xml:space="preserve">plural </w:t>
      </w:r>
      <w:r>
        <w:t>phi features? Were this possible, DCT could still assign nominative case to DP</w:t>
      </w:r>
      <w:r>
        <w:rPr>
          <w:vertAlign w:val="superscript"/>
        </w:rPr>
        <w:t>3</w:t>
      </w:r>
      <w:r>
        <w:t>, but the configuration would not trigger the AAE and would thus allow a</w:t>
      </w:r>
      <w:r w:rsidR="008048C9">
        <w:t xml:space="preserve"> simplex</w:t>
      </w:r>
      <w:r>
        <w:t xml:space="preserve"> reflexive in this position, contrary to fact.</w:t>
      </w:r>
      <w:r w:rsidR="00894BEB">
        <w:t xml:space="preserve"> Thus, though the DCT</w:t>
      </w:r>
      <w:r w:rsidR="00184E49">
        <w:t xml:space="preserve"> plus standard agreement theory</w:t>
      </w:r>
      <w:r w:rsidR="00894BEB">
        <w:t xml:space="preserve"> is compatible with the Icelandic data, it does not explain it.</w:t>
      </w:r>
      <w:r w:rsidR="00184E49">
        <w:t xml:space="preserve"> In contrast, CCT can explain these data given other standard empirical assumptions. </w:t>
      </w:r>
      <w:r w:rsidR="00A23570">
        <w:t>Here is</w:t>
      </w:r>
      <w:r w:rsidR="00184E49">
        <w:t xml:space="preserve"> how.</w:t>
      </w:r>
    </w:p>
    <w:p w14:paraId="5ABE65A7" w14:textId="77777777" w:rsidR="00894BEB" w:rsidRDefault="00894BEB" w:rsidP="000B34DB"/>
    <w:p w14:paraId="42E05202" w14:textId="24896C1A" w:rsidR="00894BEB" w:rsidRPr="00A965E4" w:rsidRDefault="006C66C2" w:rsidP="000B34DB">
      <w:r>
        <w:t>A core assumption of CCT</w:t>
      </w:r>
      <w:r w:rsidR="00894BEB">
        <w:t xml:space="preserve"> </w:t>
      </w:r>
      <w:r>
        <w:t xml:space="preserve">is </w:t>
      </w:r>
      <w:r w:rsidR="00AC24A2">
        <w:t>that case is a X</w:t>
      </w:r>
      <w:r w:rsidR="00894BEB">
        <w:rPr>
          <w:vertAlign w:val="superscript"/>
        </w:rPr>
        <w:t>0</w:t>
      </w:r>
      <w:r w:rsidR="00392E92">
        <w:t xml:space="preserve">-DP relation. </w:t>
      </w:r>
      <w:r w:rsidR="00141D43">
        <w:t>For nominative,</w:t>
      </w:r>
      <w:r w:rsidR="00AC24A2">
        <w:t xml:space="preserve"> X</w:t>
      </w:r>
      <w:r w:rsidR="00AC24A2">
        <w:rPr>
          <w:vertAlign w:val="superscript"/>
        </w:rPr>
        <w:t>0</w:t>
      </w:r>
      <w:r w:rsidR="00AC24A2">
        <w:t xml:space="preserve"> is T</w:t>
      </w:r>
      <w:r w:rsidR="00AC24A2">
        <w:rPr>
          <w:vertAlign w:val="superscript"/>
        </w:rPr>
        <w:t>0</w:t>
      </w:r>
      <w:r w:rsidR="00AC24A2">
        <w:t>. A further standard assumption is</w:t>
      </w:r>
      <w:r w:rsidR="00894BEB">
        <w:t xml:space="preserve"> that non-finite T i</w:t>
      </w:r>
      <w:r w:rsidR="00392E92">
        <w:t>s not endemically a</w:t>
      </w:r>
      <w:r w:rsidR="008D48A2">
        <w:t xml:space="preserve"> </w:t>
      </w:r>
      <w:r w:rsidR="00AC24A2">
        <w:t xml:space="preserve">(nominative) </w:t>
      </w:r>
      <w:r w:rsidR="008D48A2">
        <w:t>case assigner. However, w</w:t>
      </w:r>
      <w:r w:rsidR="00894BEB">
        <w:t xml:space="preserve">hen </w:t>
      </w:r>
      <w:r w:rsidR="000A4E39">
        <w:t>non-</w:t>
      </w:r>
      <w:r w:rsidR="008D48A2">
        <w:t xml:space="preserve">finite T is </w:t>
      </w:r>
      <w:r w:rsidR="00894BEB">
        <w:t xml:space="preserve">augmented with phi features </w:t>
      </w:r>
      <w:r w:rsidR="008D48A2">
        <w:t>it</w:t>
      </w:r>
      <w:r w:rsidR="00894BEB">
        <w:t xml:space="preserve"> can assign nominative case (e.g. as</w:t>
      </w:r>
      <w:r w:rsidR="00AC24A2">
        <w:t xml:space="preserve"> found</w:t>
      </w:r>
      <w:r w:rsidR="00392E92">
        <w:t xml:space="preserve"> </w:t>
      </w:r>
      <w:r w:rsidR="00894BEB">
        <w:t>in Brazilian Portuguese</w:t>
      </w:r>
      <w:r w:rsidR="00AC24A2">
        <w:t xml:space="preserve"> with inflected infinitives</w:t>
      </w:r>
      <w:r w:rsidR="00894BEB">
        <w:t>).</w:t>
      </w:r>
      <w:r w:rsidR="000A4E39">
        <w:t xml:space="preserve"> </w:t>
      </w:r>
      <w:r w:rsidR="00392E92">
        <w:t xml:space="preserve">So, if we assume </w:t>
      </w:r>
      <w:r w:rsidR="00A965E4">
        <w:t>(</w:t>
      </w:r>
      <w:proofErr w:type="spellStart"/>
      <w:r w:rsidR="00A965E4">
        <w:t>i</w:t>
      </w:r>
      <w:proofErr w:type="spellEnd"/>
      <w:r w:rsidR="00A965E4">
        <w:t xml:space="preserve">) </w:t>
      </w:r>
      <w:r w:rsidR="00392E92">
        <w:t>that nominative case reflects an underlying T</w:t>
      </w:r>
      <w:r w:rsidR="00392E92">
        <w:rPr>
          <w:vertAlign w:val="superscript"/>
        </w:rPr>
        <w:t>0</w:t>
      </w:r>
      <w:r w:rsidR="00A965E4">
        <w:t>-DP relation and (ii)</w:t>
      </w:r>
      <w:r w:rsidR="00392E92">
        <w:t xml:space="preserve"> that non-finite T requires </w:t>
      </w:r>
      <w:r w:rsidR="00D70F75">
        <w:t>some</w:t>
      </w:r>
      <w:r w:rsidR="00392E92">
        <w:t xml:space="preserve"> unvalued phi features to become case active then the AAE effects in (4) follow.</w:t>
      </w:r>
      <w:r w:rsidR="00A965E4">
        <w:t xml:space="preserve"> More specifically, the acceptability of configurations like (3) </w:t>
      </w:r>
      <w:proofErr w:type="gramStart"/>
      <w:r w:rsidR="00A965E4">
        <w:t>imply</w:t>
      </w:r>
      <w:proofErr w:type="gramEnd"/>
      <w:r w:rsidR="00A965E4">
        <w:t xml:space="preserve"> that DP</w:t>
      </w:r>
      <w:r w:rsidR="00A965E4">
        <w:rPr>
          <w:vertAlign w:val="superscript"/>
        </w:rPr>
        <w:t>3</w:t>
      </w:r>
      <w:r w:rsidR="00A965E4">
        <w:t xml:space="preserve"> is case licensed by </w:t>
      </w:r>
      <w:r w:rsidR="00D86F2F">
        <w:t xml:space="preserve">non finite </w:t>
      </w:r>
      <w:r w:rsidR="00A965E4">
        <w:t>T</w:t>
      </w:r>
      <w:r w:rsidR="00D86F2F">
        <w:rPr>
          <w:vertAlign w:val="superscript"/>
        </w:rPr>
        <w:t>0</w:t>
      </w:r>
      <w:r w:rsidR="00A965E4">
        <w:t>, which requires that T</w:t>
      </w:r>
      <w:r w:rsidR="00D86F2F">
        <w:rPr>
          <w:vertAlign w:val="superscript"/>
        </w:rPr>
        <w:t>0</w:t>
      </w:r>
      <w:r w:rsidR="00A965E4">
        <w:t xml:space="preserve"> bear </w:t>
      </w:r>
      <w:r w:rsidR="00D70F75">
        <w:t xml:space="preserve">some </w:t>
      </w:r>
      <w:r w:rsidR="00A965E4">
        <w:t>unvalued phi features</w:t>
      </w:r>
      <w:r w:rsidR="00D86F2F">
        <w:t>,</w:t>
      </w:r>
      <w:r w:rsidR="00A965E4">
        <w:t xml:space="preserve"> which triggers the AAE.</w:t>
      </w:r>
    </w:p>
    <w:p w14:paraId="04165E86" w14:textId="77777777" w:rsidR="00F65830" w:rsidRDefault="00F65830" w:rsidP="000B34DB"/>
    <w:p w14:paraId="49CD1C60" w14:textId="5BFC86CB" w:rsidR="00AF770E" w:rsidRDefault="00F65830" w:rsidP="00AF770E">
      <w:r>
        <w:t>What allows CCT to explain the facts in (4)</w:t>
      </w:r>
      <w:r w:rsidR="00D86F2F">
        <w:t xml:space="preserve"> but</w:t>
      </w:r>
      <w:r w:rsidR="00B15916">
        <w:t xml:space="preserve"> prevents DCT from doing the same? The main </w:t>
      </w:r>
      <w:r w:rsidR="00D9646C">
        <w:t xml:space="preserve">theoretical </w:t>
      </w:r>
      <w:r w:rsidR="00B15916">
        <w:t xml:space="preserve">difference between CCT and DCT is that the former treats all case assignment as a dependency between a case assigning </w:t>
      </w:r>
      <w:r w:rsidR="00B15916">
        <w:rPr>
          <w:i/>
        </w:rPr>
        <w:t>head</w:t>
      </w:r>
      <w:r w:rsidR="00B15916">
        <w:t xml:space="preserve"> and a DP. The DCT</w:t>
      </w:r>
      <w:r w:rsidR="00D9646C">
        <w:t>, in contrast,</w:t>
      </w:r>
      <w:r w:rsidR="00B15916">
        <w:t xml:space="preserve"> treats case as a DP/DP</w:t>
      </w:r>
      <w:r w:rsidR="00D9646C">
        <w:t xml:space="preserve"> dependency</w:t>
      </w:r>
      <w:r w:rsidR="00D86F2F">
        <w:t>. This difference becomes crucial give</w:t>
      </w:r>
      <w:r w:rsidR="00D9646C">
        <w:t xml:space="preserve">n the uniform assumption that </w:t>
      </w:r>
      <w:r w:rsidR="00D86F2F">
        <w:t>agreement i</w:t>
      </w:r>
      <w:r w:rsidR="00C264F8">
        <w:t>s a X</w:t>
      </w:r>
      <w:r w:rsidR="00C264F8">
        <w:rPr>
          <w:vertAlign w:val="superscript"/>
        </w:rPr>
        <w:t>0</w:t>
      </w:r>
      <w:r w:rsidR="00B15916">
        <w:t xml:space="preserve">-DP dependency. </w:t>
      </w:r>
      <w:r w:rsidR="00D86F2F">
        <w:t>Specifically, t</w:t>
      </w:r>
      <w:r w:rsidR="00B15916">
        <w:t xml:space="preserve">his </w:t>
      </w:r>
      <w:r w:rsidR="00C264F8">
        <w:t xml:space="preserve">latter </w:t>
      </w:r>
      <w:r w:rsidR="00B15916">
        <w:t xml:space="preserve">assumption coupled with CCT forces the conclusion that in (3) </w:t>
      </w:r>
      <w:proofErr w:type="spellStart"/>
      <w:r w:rsidR="00B15916">
        <w:t>DP</w:t>
      </w:r>
      <w:r w:rsidR="00B15916">
        <w:rPr>
          <w:vertAlign w:val="subscript"/>
        </w:rPr>
        <w:t>nom</w:t>
      </w:r>
      <w:proofErr w:type="spellEnd"/>
      <w:r w:rsidR="00B15916">
        <w:t xml:space="preserve"> </w:t>
      </w:r>
      <w:r w:rsidR="00B15916" w:rsidRPr="00C264F8">
        <w:rPr>
          <w:i/>
        </w:rPr>
        <w:t>must be</w:t>
      </w:r>
      <w:r w:rsidR="00B15916">
        <w:t xml:space="preserve"> in relation with a nominative assigning head. This implies that T</w:t>
      </w:r>
      <w:r w:rsidR="00B15916">
        <w:rPr>
          <w:vertAlign w:val="superscript"/>
        </w:rPr>
        <w:t>-Fin</w:t>
      </w:r>
      <w:r w:rsidR="00B15916">
        <w:t xml:space="preserve"> has abstract (covert) phi features that allow T</w:t>
      </w:r>
      <w:r w:rsidR="00B15916">
        <w:rPr>
          <w:vertAlign w:val="superscript"/>
        </w:rPr>
        <w:t>-Fin</w:t>
      </w:r>
      <w:r w:rsidR="00B15916">
        <w:t xml:space="preserve"> to assign nominative case to DP</w:t>
      </w:r>
      <w:r w:rsidR="00B15916">
        <w:rPr>
          <w:vertAlign w:val="superscript"/>
        </w:rPr>
        <w:t>3</w:t>
      </w:r>
      <w:r w:rsidR="00B045B4">
        <w:t xml:space="preserve">, </w:t>
      </w:r>
      <w:r w:rsidR="00B15916">
        <w:t>T</w:t>
      </w:r>
      <w:r w:rsidR="00B15916">
        <w:rPr>
          <w:vertAlign w:val="superscript"/>
        </w:rPr>
        <w:t>-Fin</w:t>
      </w:r>
      <w:r w:rsidR="00B15916">
        <w:t xml:space="preserve"> itself having no </w:t>
      </w:r>
      <w:r w:rsidR="00B045B4">
        <w:t>endemic case assigning powers</w:t>
      </w:r>
      <w:r w:rsidR="00B15916">
        <w:t xml:space="preserve">. </w:t>
      </w:r>
      <w:r w:rsidR="00D86F2F">
        <w:t>Importantly, t</w:t>
      </w:r>
      <w:r w:rsidR="0024277B">
        <w:t xml:space="preserve">his line of reasoning </w:t>
      </w:r>
      <w:r w:rsidR="0024277B">
        <w:rPr>
          <w:i/>
        </w:rPr>
        <w:t>relies</w:t>
      </w:r>
      <w:r w:rsidR="0024277B">
        <w:t xml:space="preserve"> on </w:t>
      </w:r>
      <w:r w:rsidR="00DD1175">
        <w:t>a core</w:t>
      </w:r>
      <w:r w:rsidR="0053454A">
        <w:rPr>
          <w:i/>
        </w:rPr>
        <w:t xml:space="preserve"> </w:t>
      </w:r>
      <w:r w:rsidR="00D86F2F">
        <w:t xml:space="preserve">assumption that DCT rejects. To wit: DCT treats </w:t>
      </w:r>
      <w:r w:rsidR="00C57A27">
        <w:t xml:space="preserve">agreement as a head-DP dependency, but crucially insists that </w:t>
      </w:r>
      <w:r w:rsidR="00587605">
        <w:t xml:space="preserve">case is not. This means that DCT </w:t>
      </w:r>
      <w:r w:rsidR="00D86F2F">
        <w:t>plus agreement theory does not require</w:t>
      </w:r>
      <w:r w:rsidR="00587605">
        <w:t xml:space="preserve"> phi features on the embedded T</w:t>
      </w:r>
      <w:r w:rsidR="00587605">
        <w:rPr>
          <w:vertAlign w:val="superscript"/>
        </w:rPr>
        <w:t>-Fin</w:t>
      </w:r>
      <w:r w:rsidR="00D86F2F">
        <w:t xml:space="preserve"> and so</w:t>
      </w:r>
      <w:r w:rsidR="00587605">
        <w:t xml:space="preserve"> fails to explain the apparent AAE effects in (4).</w:t>
      </w:r>
    </w:p>
    <w:p w14:paraId="01CBFBFB" w14:textId="77777777" w:rsidR="00A842BB" w:rsidRDefault="00A842BB" w:rsidP="00AF770E"/>
    <w:p w14:paraId="098E84AF" w14:textId="6C9D120D" w:rsidR="00A842BB" w:rsidRPr="00C5537A" w:rsidRDefault="00A842BB" w:rsidP="00AF770E">
      <w:r>
        <w:t>An aside: CCT treats the embedded clause in (3) as Nom-infinitive construction in which the non-finite T is case active due to bearing the requisite agreement feature. Sigurdsson (1996</w:t>
      </w:r>
      <w:r w:rsidR="00C26C97">
        <w:t>: 2.4</w:t>
      </w:r>
      <w:r>
        <w:t xml:space="preserve">) </w:t>
      </w:r>
      <w:r w:rsidR="00C26C97">
        <w:t xml:space="preserve">makes a similar proposal for independent reasons. Agreement with the nominative object in </w:t>
      </w:r>
      <w:proofErr w:type="spellStart"/>
      <w:r w:rsidR="00C26C97">
        <w:t>mon</w:t>
      </w:r>
      <w:proofErr w:type="spellEnd"/>
      <w:r w:rsidR="00C26C97">
        <w:t>-clausal structures like (1) is obligatory. This contrasts with structures like (5), where the embedded subject DP</w:t>
      </w:r>
      <w:r w:rsidR="00C26C97">
        <w:rPr>
          <w:vertAlign w:val="superscript"/>
        </w:rPr>
        <w:t>2</w:t>
      </w:r>
      <w:r w:rsidR="00C26C97">
        <w:t xml:space="preserve"> is nominative. Here plural agreement with the matrix </w:t>
      </w:r>
      <w:proofErr w:type="spellStart"/>
      <w:r w:rsidR="00C26C97">
        <w:t>T</w:t>
      </w:r>
      <w:r w:rsidR="00C26C97">
        <w:rPr>
          <w:vertAlign w:val="superscript"/>
        </w:rPr>
        <w:t>+Fin</w:t>
      </w:r>
      <w:proofErr w:type="spellEnd"/>
      <w:r w:rsidR="00C26C97">
        <w:t xml:space="preserve"> is </w:t>
      </w:r>
      <w:proofErr w:type="spellStart"/>
      <w:r w:rsidR="00C26C97">
        <w:t>opitional</w:t>
      </w:r>
      <w:proofErr w:type="spellEnd"/>
      <w:r w:rsidR="00C26C97">
        <w:t>. Thus, in (5) if DP</w:t>
      </w:r>
      <w:r w:rsidR="00C26C97">
        <w:rPr>
          <w:vertAlign w:val="superscript"/>
        </w:rPr>
        <w:t>2</w:t>
      </w:r>
      <w:r w:rsidR="00C26C97">
        <w:t xml:space="preserve"> is plural then the matrix T can either agree with it or surface in default singular form. In (1), to repeat, if DP</w:t>
      </w:r>
      <w:r w:rsidR="00C26C97">
        <w:rPr>
          <w:vertAlign w:val="superscript"/>
        </w:rPr>
        <w:t>2</w:t>
      </w:r>
      <w:r w:rsidR="00C26C97">
        <w:t xml:space="preserve"> is plural </w:t>
      </w:r>
      <w:proofErr w:type="spellStart"/>
      <w:r w:rsidR="00C26C97">
        <w:t>T</w:t>
      </w:r>
      <w:r w:rsidR="00C26C97">
        <w:rPr>
          <w:vertAlign w:val="superscript"/>
        </w:rPr>
        <w:t>+Fin</w:t>
      </w:r>
      <w:proofErr w:type="spellEnd"/>
      <w:r w:rsidR="00C26C97">
        <w:t xml:space="preserve"> must be as well.</w:t>
      </w:r>
      <w:r w:rsidR="000B5D4D">
        <w:t xml:space="preserve"> Sigurdsson’s (1996) suggestion explains this optionality. If we assume that the T</w:t>
      </w:r>
      <w:r w:rsidR="00C5537A">
        <w:rPr>
          <w:vertAlign w:val="superscript"/>
        </w:rPr>
        <w:t>-Fin</w:t>
      </w:r>
      <w:r w:rsidR="00C5537A">
        <w:t xml:space="preserve"> can optionally bear the requisite unvalued features that activate its nominative case powers. When they </w:t>
      </w:r>
      <w:r w:rsidR="00C22D41">
        <w:t>are there, agreement is blocked</w:t>
      </w:r>
      <w:r w:rsidR="00C5537A">
        <w:t xml:space="preserve"> while when they are not there agreement is obligatory. Thus, nominative case can be assigned within the embedded clause by T</w:t>
      </w:r>
      <w:r w:rsidR="00C5537A">
        <w:rPr>
          <w:vertAlign w:val="superscript"/>
        </w:rPr>
        <w:t>-Fin</w:t>
      </w:r>
      <w:r w:rsidR="00C5537A">
        <w:t xml:space="preserve"> with unvalued Pl features or by the matrix </w:t>
      </w:r>
      <w:proofErr w:type="spellStart"/>
      <w:r w:rsidR="00C5537A">
        <w:t>T</w:t>
      </w:r>
      <w:r w:rsidR="00C5537A">
        <w:rPr>
          <w:vertAlign w:val="superscript"/>
        </w:rPr>
        <w:t>+Fin</w:t>
      </w:r>
      <w:proofErr w:type="spellEnd"/>
      <w:r w:rsidR="00C5537A">
        <w:t xml:space="preserve">. In the former construction agreement is not overtly realized on the matrix T, in the latter it is. </w:t>
      </w:r>
    </w:p>
    <w:p w14:paraId="0B5303F7" w14:textId="77777777" w:rsidR="00C26C97" w:rsidRDefault="00C26C97" w:rsidP="00AF770E"/>
    <w:p w14:paraId="48EBEAD4" w14:textId="0D46DD17" w:rsidR="00C26C97" w:rsidRDefault="00C26C97" w:rsidP="00C26C97">
      <w:pPr>
        <w:pStyle w:val="ListParagraph"/>
        <w:numPr>
          <w:ilvl w:val="0"/>
          <w:numId w:val="3"/>
        </w:numPr>
      </w:pPr>
      <w:r>
        <w:t>[DP</w:t>
      </w:r>
      <w:r w:rsidRPr="00C26C97">
        <w:rPr>
          <w:vertAlign w:val="superscript"/>
        </w:rPr>
        <w:t>1</w:t>
      </w:r>
      <w:r>
        <w:t xml:space="preserve"> </w:t>
      </w:r>
      <w:proofErr w:type="spellStart"/>
      <w:r w:rsidRPr="00C26C97">
        <w:rPr>
          <w:vertAlign w:val="subscript"/>
        </w:rPr>
        <w:t>Dat</w:t>
      </w:r>
      <w:proofErr w:type="spellEnd"/>
      <w:r>
        <w:t xml:space="preserve"> </w:t>
      </w:r>
      <w:proofErr w:type="spellStart"/>
      <w:r>
        <w:t>T</w:t>
      </w:r>
      <w:r w:rsidRPr="00C26C97">
        <w:rPr>
          <w:vertAlign w:val="superscript"/>
        </w:rPr>
        <w:t>+Fin</w:t>
      </w:r>
      <w:proofErr w:type="spellEnd"/>
      <w:r>
        <w:t xml:space="preserve"> V [DP</w:t>
      </w:r>
      <w:r w:rsidRPr="00C26C97">
        <w:rPr>
          <w:vertAlign w:val="superscript"/>
        </w:rPr>
        <w:t>2</w:t>
      </w:r>
      <w:r>
        <w:t xml:space="preserve"> </w:t>
      </w:r>
      <w:r>
        <w:rPr>
          <w:vertAlign w:val="subscript"/>
        </w:rPr>
        <w:t>NOM</w:t>
      </w:r>
      <w:r>
        <w:t xml:space="preserve"> T</w:t>
      </w:r>
      <w:r w:rsidRPr="00C26C97">
        <w:rPr>
          <w:vertAlign w:val="superscript"/>
        </w:rPr>
        <w:t>-Fin</w:t>
      </w:r>
      <w:r>
        <w:t xml:space="preserve"> V…]]</w:t>
      </w:r>
    </w:p>
    <w:p w14:paraId="1C4AAE31" w14:textId="77777777" w:rsidR="00C26C97" w:rsidRDefault="00C26C97" w:rsidP="00C22D41"/>
    <w:p w14:paraId="10FB0DBA" w14:textId="0D74FD16" w:rsidR="00C22D41" w:rsidRDefault="00C22D41" w:rsidP="00C22D41">
      <w:r>
        <w:t xml:space="preserve">What is relevant </w:t>
      </w:r>
      <w:proofErr w:type="gramStart"/>
      <w:r>
        <w:t>here,</w:t>
      </w:r>
      <w:proofErr w:type="gramEnd"/>
      <w:r>
        <w:t xml:space="preserve"> is that this provides independent motivation for assuming that Icelandic allows non-finite </w:t>
      </w:r>
      <w:proofErr w:type="spellStart"/>
      <w:r>
        <w:t>Ts</w:t>
      </w:r>
      <w:proofErr w:type="spellEnd"/>
      <w:r>
        <w:t xml:space="preserve"> with the requisite </w:t>
      </w:r>
      <w:r w:rsidR="00CD4497">
        <w:t xml:space="preserve">unvalued </w:t>
      </w:r>
      <w:r>
        <w:t>features to assign nominative case.</w:t>
      </w:r>
      <w:r>
        <w:rPr>
          <w:rStyle w:val="FootnoteReference"/>
        </w:rPr>
        <w:footnoteReference w:id="10"/>
      </w:r>
      <w:r>
        <w:t xml:space="preserve"> </w:t>
      </w:r>
    </w:p>
    <w:p w14:paraId="6F34FC74" w14:textId="77777777" w:rsidR="00680E08" w:rsidRDefault="00680E08" w:rsidP="00AF770E"/>
    <w:p w14:paraId="5EC5E533" w14:textId="4B997319" w:rsidR="00680E08" w:rsidRDefault="007E6964" w:rsidP="00680E08">
      <w:pPr>
        <w:pStyle w:val="ListParagraph"/>
        <w:numPr>
          <w:ilvl w:val="0"/>
          <w:numId w:val="1"/>
        </w:numPr>
      </w:pPr>
      <w:r>
        <w:t>A slight revision of Preminger’s Generalization</w:t>
      </w:r>
    </w:p>
    <w:p w14:paraId="53097EE7" w14:textId="77777777" w:rsidR="00680E08" w:rsidRDefault="00680E08" w:rsidP="00680E08"/>
    <w:p w14:paraId="1A15C12F" w14:textId="3C823FCD" w:rsidR="00680E08" w:rsidRDefault="000210B8" w:rsidP="00680E08">
      <w:r>
        <w:t>W</w:t>
      </w:r>
      <w:proofErr w:type="gramStart"/>
      <w:r>
        <w:t>:99</w:t>
      </w:r>
      <w:proofErr w:type="gramEnd"/>
      <w:r w:rsidR="006D30C0">
        <w:t xml:space="preserve"> suggests treating the AAE as a phi feature detector. Doing so implies that embedded infinitives like th</w:t>
      </w:r>
      <w:r w:rsidR="00EE0967">
        <w:t xml:space="preserve">ose in (3) carry </w:t>
      </w:r>
      <w:r w:rsidR="00344F86">
        <w:t xml:space="preserve">some </w:t>
      </w:r>
      <w:r w:rsidR="00EE0967">
        <w:t>unvalued</w:t>
      </w:r>
      <w:r w:rsidR="006D30C0">
        <w:t xml:space="preserve"> phi features that must be valued. This </w:t>
      </w:r>
      <w:r w:rsidR="00B75D6B">
        <w:t xml:space="preserve">is what </w:t>
      </w:r>
      <w:r w:rsidR="006D30C0">
        <w:t xml:space="preserve">triggers the AAE </w:t>
      </w:r>
      <w:r w:rsidR="00B75D6B">
        <w:t>effects in</w:t>
      </w:r>
      <w:r w:rsidR="006D30C0">
        <w:t xml:space="preserve"> (4)</w:t>
      </w:r>
      <w:r w:rsidR="00B75D6B">
        <w:t>.</w:t>
      </w:r>
      <w:r w:rsidR="006D30C0">
        <w:t xml:space="preserve"> </w:t>
      </w:r>
      <w:r w:rsidR="00713F58">
        <w:t>CCT requires that</w:t>
      </w:r>
      <w:r w:rsidR="006D30C0">
        <w:t xml:space="preserve"> the non-finite embedded T</w:t>
      </w:r>
      <w:r w:rsidR="00B75D6B">
        <w:rPr>
          <w:vertAlign w:val="superscript"/>
        </w:rPr>
        <w:t>0</w:t>
      </w:r>
      <w:r w:rsidR="006D30C0">
        <w:t xml:space="preserve"> </w:t>
      </w:r>
      <w:r w:rsidR="00713F58">
        <w:t xml:space="preserve">in (3) </w:t>
      </w:r>
      <w:r w:rsidR="006D30C0">
        <w:t xml:space="preserve">bear </w:t>
      </w:r>
      <w:r w:rsidR="00344F86">
        <w:t>such unvalued</w:t>
      </w:r>
      <w:r w:rsidR="006D30C0">
        <w:t xml:space="preserve"> features in order to be case active (i.e. to be </w:t>
      </w:r>
      <w:r w:rsidR="00536B06">
        <w:t>able to assign nominative case).</w:t>
      </w:r>
      <w:r w:rsidR="006D30C0">
        <w:t xml:space="preserve"> </w:t>
      </w:r>
      <w:r w:rsidR="00536B06">
        <w:t>T</w:t>
      </w:r>
      <w:r w:rsidR="006D30C0">
        <w:t xml:space="preserve">his </w:t>
      </w:r>
      <w:r w:rsidR="00536B06">
        <w:t xml:space="preserve">in turn triggers </w:t>
      </w:r>
      <w:r w:rsidR="006D30C0">
        <w:t xml:space="preserve">AAE effects in structures like (4). </w:t>
      </w:r>
    </w:p>
    <w:p w14:paraId="5E1956DA" w14:textId="77777777" w:rsidR="006D30C0" w:rsidRDefault="006D30C0" w:rsidP="00680E08"/>
    <w:p w14:paraId="32CF72FF" w14:textId="77777777" w:rsidR="00CD2CC2" w:rsidRDefault="00CD2CC2" w:rsidP="00680E08">
      <w:r>
        <w:t>This account</w:t>
      </w:r>
      <w:r w:rsidR="006D30C0">
        <w:t xml:space="preserve"> also </w:t>
      </w:r>
      <w:r>
        <w:t>permits</w:t>
      </w:r>
      <w:r w:rsidR="006D30C0">
        <w:t xml:space="preserve"> the adoptio</w:t>
      </w:r>
      <w:r>
        <w:t>n of PG</w:t>
      </w:r>
      <w:r w:rsidR="006D30C0">
        <w:t xml:space="preserve"> </w:t>
      </w:r>
      <w:r>
        <w:t>in a slightly revised form. Again, consider the details.</w:t>
      </w:r>
    </w:p>
    <w:p w14:paraId="28CEE63F" w14:textId="77777777" w:rsidR="00CD2CC2" w:rsidRDefault="00CD2CC2" w:rsidP="00680E08"/>
    <w:p w14:paraId="70BD8632" w14:textId="27BA753E" w:rsidR="00CD2CC2" w:rsidRDefault="000210B8" w:rsidP="00680E08">
      <w:r>
        <w:t xml:space="preserve">PG proposes </w:t>
      </w:r>
      <w:r w:rsidR="006D30C0">
        <w:t>that there is no covert p</w:t>
      </w:r>
      <w:r w:rsidR="0053454A">
        <w:t xml:space="preserve">hi feature agreement. </w:t>
      </w:r>
      <w:r w:rsidR="00CD2CC2">
        <w:t xml:space="preserve">In languages without overt agreement, this implies that there are no unvalued phi-features on </w:t>
      </w:r>
      <w:r w:rsidR="00CD2CC2">
        <w:rPr>
          <w:i/>
        </w:rPr>
        <w:t>v</w:t>
      </w:r>
      <w:r w:rsidR="00CD2CC2">
        <w:t xml:space="preserve">, the accusative case assigning head. </w:t>
      </w:r>
      <w:r w:rsidR="0053454A">
        <w:t xml:space="preserve">AAE effects </w:t>
      </w:r>
      <w:r w:rsidR="00CD2CC2">
        <w:t>will thus be absent as</w:t>
      </w:r>
      <w:r w:rsidR="0053454A">
        <w:t xml:space="preserve"> </w:t>
      </w:r>
      <w:r w:rsidR="00CD2CC2">
        <w:t>there are</w:t>
      </w:r>
      <w:r w:rsidR="0053454A">
        <w:t xml:space="preserve"> no </w:t>
      </w:r>
      <w:r w:rsidR="00CD2CC2">
        <w:t>phi-features present</w:t>
      </w:r>
      <w:r w:rsidR="0053454A">
        <w:t xml:space="preserve"> to trigger the AAE. </w:t>
      </w:r>
    </w:p>
    <w:p w14:paraId="640BC5C7" w14:textId="77777777" w:rsidR="00CD2CC2" w:rsidRDefault="00CD2CC2" w:rsidP="00680E08"/>
    <w:p w14:paraId="13C24A32" w14:textId="77777777" w:rsidR="00F26664" w:rsidRDefault="0053454A" w:rsidP="00680E08">
      <w:r>
        <w:t xml:space="preserve">In the context of CCT, </w:t>
      </w:r>
      <w:r w:rsidR="00CD2CC2">
        <w:t xml:space="preserve">that PG holds for accusative case </w:t>
      </w:r>
      <w:r w:rsidR="00DA24BA">
        <w:t>is sensible</w:t>
      </w:r>
      <w:r w:rsidR="00504829">
        <w:t xml:space="preserve">. </w:t>
      </w:r>
      <w:r>
        <w:t xml:space="preserve">CCT assumes accusative case is the product of a </w:t>
      </w:r>
      <w:r w:rsidRPr="0053454A">
        <w:rPr>
          <w:i/>
        </w:rPr>
        <w:t>v</w:t>
      </w:r>
      <w:r>
        <w:rPr>
          <w:i/>
          <w:vertAlign w:val="superscript"/>
        </w:rPr>
        <w:t>0</w:t>
      </w:r>
      <w:r>
        <w:t xml:space="preserve">-DP dependency, </w:t>
      </w:r>
      <w:r w:rsidR="00F26664">
        <w:t xml:space="preserve">(transitive) </w:t>
      </w:r>
      <w:r w:rsidRPr="0053454A">
        <w:rPr>
          <w:i/>
        </w:rPr>
        <w:t>v</w:t>
      </w:r>
      <w:r>
        <w:rPr>
          <w:i/>
          <w:vertAlign w:val="superscript"/>
        </w:rPr>
        <w:t>0</w:t>
      </w:r>
      <w:r w:rsidR="00504829">
        <w:t xml:space="preserve"> being the head that endemically</w:t>
      </w:r>
      <w:r>
        <w:t xml:space="preserve"> assigns accusative case. If we assume this, however, then adding phi features to </w:t>
      </w:r>
      <w:r>
        <w:rPr>
          <w:i/>
        </w:rPr>
        <w:t>v</w:t>
      </w:r>
      <w:r>
        <w:rPr>
          <w:i/>
          <w:vertAlign w:val="superscript"/>
        </w:rPr>
        <w:t>0</w:t>
      </w:r>
      <w:r w:rsidRPr="0053454A">
        <w:rPr>
          <w:vertAlign w:val="superscript"/>
        </w:rPr>
        <w:t xml:space="preserve"> </w:t>
      </w:r>
      <w:r>
        <w:t xml:space="preserve">does not endow </w:t>
      </w:r>
      <w:r>
        <w:rPr>
          <w:i/>
        </w:rPr>
        <w:t>v</w:t>
      </w:r>
      <w:r>
        <w:rPr>
          <w:i/>
          <w:vertAlign w:val="superscript"/>
        </w:rPr>
        <w:t>0</w:t>
      </w:r>
      <w:r>
        <w:t xml:space="preserve"> with case powers and so </w:t>
      </w:r>
      <w:r w:rsidR="00CD2CC2">
        <w:t xml:space="preserve">phi features on </w:t>
      </w:r>
      <w:r w:rsidR="00085B12">
        <w:rPr>
          <w:i/>
        </w:rPr>
        <w:t>v</w:t>
      </w:r>
      <w:r w:rsidR="00085B12">
        <w:rPr>
          <w:i/>
          <w:vertAlign w:val="superscript"/>
        </w:rPr>
        <w:t>0</w:t>
      </w:r>
      <w:r w:rsidR="00085B12">
        <w:t xml:space="preserve"> </w:t>
      </w:r>
      <w:r w:rsidR="00175363">
        <w:t>are</w:t>
      </w:r>
      <w:r>
        <w:t xml:space="preserve"> optional as </w:t>
      </w:r>
      <w:r w:rsidR="00085B12">
        <w:t>regards CCT</w:t>
      </w:r>
      <w:r>
        <w:t xml:space="preserve">. </w:t>
      </w:r>
    </w:p>
    <w:p w14:paraId="1C597BF5" w14:textId="77777777" w:rsidR="00F26664" w:rsidRDefault="00F26664" w:rsidP="00680E08"/>
    <w:p w14:paraId="00109B68" w14:textId="4B72E4F5" w:rsidR="006D30C0" w:rsidRDefault="0053454A" w:rsidP="00680E08">
      <w:r>
        <w:t xml:space="preserve">This </w:t>
      </w:r>
      <w:r w:rsidR="008F67DA">
        <w:t xml:space="preserve">observation </w:t>
      </w:r>
      <w:r>
        <w:t xml:space="preserve">allows for a modified version of </w:t>
      </w:r>
      <w:r w:rsidR="008F67DA">
        <w:t>PG</w:t>
      </w:r>
      <w:r>
        <w:t xml:space="preserve">: </w:t>
      </w:r>
      <w:r w:rsidR="008F67DA" w:rsidRPr="008F67DA">
        <w:rPr>
          <w:i/>
        </w:rPr>
        <w:t>optional</w:t>
      </w:r>
      <w:r w:rsidR="008F67DA">
        <w:t xml:space="preserve"> phi-features must be morphologically overt. In particular,</w:t>
      </w:r>
      <w:r>
        <w:t xml:space="preserve"> phi features on inherent case assigning heads (e.g. finite T or transitive </w:t>
      </w:r>
      <w:r>
        <w:rPr>
          <w:i/>
        </w:rPr>
        <w:t>v</w:t>
      </w:r>
      <w:r w:rsidR="00F432A0">
        <w:t xml:space="preserve">) must be </w:t>
      </w:r>
      <w:r w:rsidR="008F67DA">
        <w:t xml:space="preserve">morphologically </w:t>
      </w:r>
      <w:r w:rsidR="00F432A0">
        <w:t>overt. This combined with some version o</w:t>
      </w:r>
      <w:r w:rsidR="008F67DA">
        <w:t>f the case filter (as part of UG) licenses</w:t>
      </w:r>
      <w:r w:rsidR="00F432A0">
        <w:t xml:space="preserve"> </w:t>
      </w:r>
      <w:r w:rsidR="00F432A0" w:rsidRPr="008F67DA">
        <w:rPr>
          <w:i/>
        </w:rPr>
        <w:t>covert</w:t>
      </w:r>
      <w:r w:rsidR="00F432A0">
        <w:t xml:space="preserve"> phi features </w:t>
      </w:r>
      <w:r w:rsidR="008F67DA">
        <w:t>only where</w:t>
      </w:r>
      <w:r w:rsidR="00F432A0">
        <w:t xml:space="preserve"> </w:t>
      </w:r>
      <w:r w:rsidR="008F67DA">
        <w:t xml:space="preserve">case </w:t>
      </w:r>
      <w:r w:rsidR="00C733BD">
        <w:t xml:space="preserve">requirements </w:t>
      </w:r>
      <w:r w:rsidR="00F432A0">
        <w:t>for</w:t>
      </w:r>
      <w:r w:rsidR="008F67DA">
        <w:t>c</w:t>
      </w:r>
      <w:r w:rsidR="00F432A0">
        <w:t>e them to appear</w:t>
      </w:r>
      <w:r w:rsidR="008F67DA">
        <w:t>. In instances where UG case requirements will be independently met unvalued phi-features will only be licensed if overt</w:t>
      </w:r>
      <w:r w:rsidR="00F432A0">
        <w:t xml:space="preserve">. </w:t>
      </w:r>
      <w:r w:rsidR="0054544B">
        <w:t>This modified version of PG appears to deri</w:t>
      </w:r>
      <w:r w:rsidR="00C733BD">
        <w:t xml:space="preserve">ve all of the relevant AAE data, including the availability of reflexives with accusative case in languages like English and Icelandic. In other words, PG’s assumption that case and agreement are </w:t>
      </w:r>
      <w:r w:rsidR="00C733BD">
        <w:rPr>
          <w:i/>
        </w:rPr>
        <w:t>generally</w:t>
      </w:r>
      <w:r w:rsidR="00C733BD">
        <w:t xml:space="preserve"> decoupled is maintained while predicting that they are tight</w:t>
      </w:r>
      <w:r w:rsidR="00344F86">
        <w:t>ly coupled in cases like (3),</w:t>
      </w:r>
      <w:r w:rsidR="00C733BD">
        <w:t xml:space="preserve"> (4)</w:t>
      </w:r>
      <w:r w:rsidR="00344F86">
        <w:t xml:space="preserve"> and (5)</w:t>
      </w:r>
      <w:r w:rsidR="00C733BD">
        <w:t>.</w:t>
      </w:r>
    </w:p>
    <w:p w14:paraId="1BBF979E" w14:textId="77777777" w:rsidR="003D3518" w:rsidRDefault="003D3518" w:rsidP="00680E08"/>
    <w:p w14:paraId="20283C07" w14:textId="45F60761" w:rsidR="003D3518" w:rsidRDefault="003D3518" w:rsidP="003D3518">
      <w:pPr>
        <w:pStyle w:val="ListParagraph"/>
        <w:numPr>
          <w:ilvl w:val="0"/>
          <w:numId w:val="1"/>
        </w:numPr>
      </w:pPr>
      <w:r>
        <w:t>Conclusion</w:t>
      </w:r>
    </w:p>
    <w:p w14:paraId="429391CA" w14:textId="77777777" w:rsidR="003D3518" w:rsidRDefault="003D3518" w:rsidP="003D3518"/>
    <w:p w14:paraId="00CCE267" w14:textId="2FF52ADD" w:rsidR="00D3160F" w:rsidRDefault="002D54F2" w:rsidP="003D3518">
      <w:r>
        <w:t xml:space="preserve">Linguistics is not </w:t>
      </w:r>
      <w:proofErr w:type="gramStart"/>
      <w:r>
        <w:t>chock</w:t>
      </w:r>
      <w:proofErr w:type="gramEnd"/>
      <w:r>
        <w:t xml:space="preserve"> full of </w:t>
      </w:r>
      <w:r w:rsidR="00F42220">
        <w:t>“</w:t>
      </w:r>
      <w:r>
        <w:t>crucial experiments,</w:t>
      </w:r>
      <w:r w:rsidR="00F42220">
        <w:t>”</w:t>
      </w:r>
      <w:r>
        <w:t xml:space="preserve"> ex</w:t>
      </w:r>
      <w:r w:rsidR="00F42220">
        <w:t xml:space="preserve">periments that are designed to test theoretical assumptions but where empirical outcomes are as yet unknown. The above, I believe, constitutes such a case. Here is some personal biography. </w:t>
      </w:r>
    </w:p>
    <w:p w14:paraId="22701746" w14:textId="77777777" w:rsidR="00D3160F" w:rsidRDefault="00D3160F" w:rsidP="003D3518"/>
    <w:p w14:paraId="57B2756D" w14:textId="693DC706" w:rsidR="003D3518" w:rsidRDefault="00F42220" w:rsidP="003D3518">
      <w:r>
        <w:t xml:space="preserve">A few years ago I ran across the Icelandic configuration in (3) and </w:t>
      </w:r>
      <w:r w:rsidR="00D3160F">
        <w:t>came to see that it was a good</w:t>
      </w:r>
      <w:r>
        <w:t xml:space="preserve"> testing ground for DTC coupled with AAE. The straightforward prediction was that nominative reflexives that are otherwise barred in Icelandic should be permissible if case and agreement dependencies were not treated univocally as X</w:t>
      </w:r>
      <w:r>
        <w:rPr>
          <w:vertAlign w:val="superscript"/>
        </w:rPr>
        <w:t>0</w:t>
      </w:r>
      <w:r>
        <w:t>-DP relations. It</w:t>
      </w:r>
      <w:r w:rsidR="00685B53">
        <w:t xml:space="preserve"> took me too long to send </w:t>
      </w:r>
      <w:proofErr w:type="spellStart"/>
      <w:r w:rsidR="00685B53">
        <w:t>Halldó</w:t>
      </w:r>
      <w:r>
        <w:t>r</w:t>
      </w:r>
      <w:proofErr w:type="spellEnd"/>
      <w:r>
        <w:t xml:space="preserve"> Sigurdsson the requisite email to uncover the facts (well uncover them </w:t>
      </w:r>
      <w:r>
        <w:rPr>
          <w:i/>
        </w:rPr>
        <w:t>for</w:t>
      </w:r>
      <w:r>
        <w:t xml:space="preserve"> me), but the prediction was clear and</w:t>
      </w:r>
      <w:r w:rsidR="00D3160F">
        <w:t>, believe it or not,</w:t>
      </w:r>
      <w:r>
        <w:t xml:space="preserve"> made ahead of </w:t>
      </w:r>
      <w:r w:rsidR="00D3160F">
        <w:t>the ask.</w:t>
      </w:r>
      <w:r>
        <w:t xml:space="preserve"> It took little </w:t>
      </w:r>
      <w:r w:rsidR="00D3160F">
        <w:t xml:space="preserve">more </w:t>
      </w:r>
      <w:r>
        <w:t xml:space="preserve">time to realize that CCT would make the opposite prediction given reasonable additional background assumptions concerning the case powers of case assigning heads. </w:t>
      </w:r>
      <w:r w:rsidR="00D3160F">
        <w:t>But this too fell into place. The results are those presented above.</w:t>
      </w:r>
    </w:p>
    <w:p w14:paraId="4E378D22" w14:textId="77777777" w:rsidR="00D3160F" w:rsidRDefault="00D3160F" w:rsidP="003D3518"/>
    <w:p w14:paraId="730A08E0" w14:textId="270DA485" w:rsidR="00F51340" w:rsidRDefault="00D3160F" w:rsidP="003D3518">
      <w:r>
        <w:t>Does this mean that DCT is wrong and that CCT is right? No. But, if correct, it does provide one bit of evidence in favor of CCT</w:t>
      </w:r>
      <w:r w:rsidR="00BE69A6">
        <w:t xml:space="preserve">. Furthermore, </w:t>
      </w:r>
      <w:r>
        <w:t xml:space="preserve">it does so in the context of Icelandic quirky case assignment, </w:t>
      </w:r>
      <w:proofErr w:type="gramStart"/>
      <w:r>
        <w:t>a domain that some advocates of DCT have argued provide</w:t>
      </w:r>
      <w:proofErr w:type="gramEnd"/>
      <w:r>
        <w:t xml:space="preserve"> especially powerful evidence for it. </w:t>
      </w:r>
      <w:r w:rsidR="00F51340">
        <w:t>If the above argument is solid, it argues that such Icelandic data are better seen as vindicating CCT t</w:t>
      </w:r>
      <w:r w:rsidR="00300F78">
        <w:t xml:space="preserve">han trashing it. </w:t>
      </w:r>
    </w:p>
    <w:p w14:paraId="3B6BA840" w14:textId="77777777" w:rsidR="00BE69A6" w:rsidRDefault="00BE69A6" w:rsidP="003D3518"/>
    <w:p w14:paraId="011FC0EC" w14:textId="3A38CE5D" w:rsidR="00124622" w:rsidRDefault="00124622" w:rsidP="00124622">
      <w:pPr>
        <w:jc w:val="center"/>
      </w:pPr>
      <w:r>
        <w:t>Bibliography</w:t>
      </w:r>
    </w:p>
    <w:p w14:paraId="1FBB4C94" w14:textId="77777777" w:rsidR="00124622" w:rsidRDefault="00124622" w:rsidP="00124622">
      <w:pPr>
        <w:jc w:val="center"/>
      </w:pPr>
    </w:p>
    <w:p w14:paraId="14F7D2F5" w14:textId="77777777" w:rsidR="00124622" w:rsidRDefault="00124622" w:rsidP="00124622">
      <w:r>
        <w:t xml:space="preserve">Preminger, Omer. Forthcoming. What the PCC tells us about “abstract” agreement, head </w:t>
      </w:r>
    </w:p>
    <w:p w14:paraId="62A9CED2" w14:textId="77777777" w:rsidR="009E5D32" w:rsidRDefault="00124622" w:rsidP="00124622">
      <w:pPr>
        <w:rPr>
          <w:rFonts w:ascii="Times" w:eastAsia="Times New Roman" w:hAnsi="Times"/>
          <w:sz w:val="20"/>
          <w:szCs w:val="20"/>
        </w:rPr>
      </w:pPr>
      <w:r>
        <w:tab/>
      </w:r>
      <w:proofErr w:type="gramStart"/>
      <w:r>
        <w:t>movement</w:t>
      </w:r>
      <w:proofErr w:type="gramEnd"/>
      <w:r>
        <w:t xml:space="preserve">, and locality. </w:t>
      </w:r>
      <w:proofErr w:type="spellStart"/>
      <w:r>
        <w:rPr>
          <w:i/>
        </w:rPr>
        <w:t>Glossa</w:t>
      </w:r>
      <w:proofErr w:type="spellEnd"/>
      <w:r w:rsidR="009E5D32">
        <w:t>. (</w:t>
      </w:r>
      <w:proofErr w:type="gramStart"/>
      <w:r w:rsidR="009E5D32">
        <w:t>prepublication</w:t>
      </w:r>
      <w:proofErr w:type="gramEnd"/>
      <w:r w:rsidR="009E5D32">
        <w:t xml:space="preserve"> version</w:t>
      </w:r>
      <w:r>
        <w:t xml:space="preserve"> available here:</w:t>
      </w:r>
      <w:r w:rsidR="009E5D32" w:rsidRPr="009E5D32">
        <w:rPr>
          <w:rFonts w:ascii="Times" w:eastAsia="Times New Roman" w:hAnsi="Times"/>
          <w:sz w:val="20"/>
          <w:szCs w:val="20"/>
        </w:rPr>
        <w:t xml:space="preserve"> </w:t>
      </w:r>
    </w:p>
    <w:p w14:paraId="58A16629" w14:textId="47D65A17" w:rsidR="00124622" w:rsidRDefault="009E5D32" w:rsidP="00124622">
      <w:pPr>
        <w:rPr>
          <w:rFonts w:ascii="Times" w:eastAsia="Times New Roman" w:hAnsi="Times"/>
          <w:sz w:val="20"/>
          <w:szCs w:val="20"/>
        </w:rPr>
      </w:pPr>
      <w:r>
        <w:rPr>
          <w:rFonts w:ascii="Times" w:eastAsia="Times New Roman" w:hAnsi="Times"/>
          <w:sz w:val="20"/>
          <w:szCs w:val="20"/>
        </w:rPr>
        <w:tab/>
      </w:r>
      <w:r w:rsidRPr="007C1302">
        <w:rPr>
          <w:rFonts w:ascii="Times" w:eastAsia="Times New Roman" w:hAnsi="Times"/>
          <w:sz w:val="20"/>
          <w:szCs w:val="20"/>
        </w:rPr>
        <w:fldChar w:fldCharType="begin"/>
      </w:r>
      <w:r w:rsidRPr="007C1302">
        <w:rPr>
          <w:rFonts w:ascii="Times" w:eastAsia="Times New Roman" w:hAnsi="Times"/>
          <w:sz w:val="20"/>
          <w:szCs w:val="20"/>
        </w:rPr>
        <w:instrText xml:space="preserve"> HYPERLINK "http://ling.auf.net/lingbuzz/003221" \t "_blank" </w:instrText>
      </w:r>
      <w:r w:rsidRPr="007C1302">
        <w:rPr>
          <w:rFonts w:ascii="Times" w:eastAsia="Times New Roman" w:hAnsi="Times"/>
          <w:sz w:val="20"/>
          <w:szCs w:val="20"/>
        </w:rPr>
        <w:fldChar w:fldCharType="separate"/>
      </w:r>
      <w:r w:rsidRPr="007C1302">
        <w:rPr>
          <w:rFonts w:ascii="Helvetica" w:eastAsia="Times New Roman" w:hAnsi="Helvetica"/>
          <w:color w:val="3983C4"/>
          <w:sz w:val="20"/>
          <w:szCs w:val="20"/>
          <w:u w:val="single"/>
        </w:rPr>
        <w:t>http://ling.auf.net/lingbuzz/003221</w:t>
      </w:r>
      <w:r w:rsidRPr="007C1302">
        <w:rPr>
          <w:rFonts w:ascii="Times" w:eastAsia="Times New Roman" w:hAnsi="Times"/>
          <w:sz w:val="20"/>
          <w:szCs w:val="20"/>
        </w:rPr>
        <w:fldChar w:fldCharType="end"/>
      </w:r>
      <w:r>
        <w:rPr>
          <w:rFonts w:ascii="Times" w:eastAsia="Times New Roman" w:hAnsi="Times"/>
          <w:sz w:val="20"/>
          <w:szCs w:val="20"/>
        </w:rPr>
        <w:t>).</w:t>
      </w:r>
    </w:p>
    <w:p w14:paraId="516D4D3E" w14:textId="77777777" w:rsidR="00BE69A6" w:rsidRDefault="00BE69A6" w:rsidP="00124622">
      <w:pPr>
        <w:rPr>
          <w:rFonts w:ascii="Times" w:eastAsia="Times New Roman" w:hAnsi="Times"/>
          <w:sz w:val="20"/>
          <w:szCs w:val="20"/>
        </w:rPr>
      </w:pPr>
    </w:p>
    <w:p w14:paraId="7B182199" w14:textId="77777777" w:rsidR="00BE69A6" w:rsidRDefault="00BE69A6" w:rsidP="00124622">
      <w:pPr>
        <w:rPr>
          <w:i/>
        </w:rPr>
      </w:pPr>
      <w:r>
        <w:rPr>
          <w:rFonts w:eastAsia="Times New Roman"/>
        </w:rPr>
        <w:t xml:space="preserve">Sigurdsson, </w:t>
      </w:r>
      <w:proofErr w:type="spellStart"/>
      <w:r>
        <w:t>Halldór</w:t>
      </w:r>
      <w:proofErr w:type="spellEnd"/>
      <w:r>
        <w:t xml:space="preserve">. 1996. Icelandic Finite Verb Agreement. </w:t>
      </w:r>
      <w:r>
        <w:rPr>
          <w:i/>
        </w:rPr>
        <w:t>Working Papers in</w:t>
      </w:r>
    </w:p>
    <w:p w14:paraId="693935F0" w14:textId="030A7D7A" w:rsidR="00BE69A6" w:rsidRPr="00BE69A6" w:rsidRDefault="00BE69A6" w:rsidP="00BE69A6">
      <w:pPr>
        <w:ind w:firstLine="720"/>
        <w:rPr>
          <w:rFonts w:eastAsia="Times New Roman"/>
        </w:rPr>
      </w:pPr>
      <w:r>
        <w:rPr>
          <w:i/>
        </w:rPr>
        <w:t>Scandinavian Syntax</w:t>
      </w:r>
      <w:r>
        <w:t xml:space="preserve">. </w:t>
      </w:r>
      <w:proofErr w:type="gramStart"/>
      <w:r>
        <w:t>57:1-46.</w:t>
      </w:r>
      <w:proofErr w:type="gramEnd"/>
    </w:p>
    <w:p w14:paraId="6BC201BC" w14:textId="77777777" w:rsidR="009E5D32" w:rsidRDefault="009E5D32" w:rsidP="00124622">
      <w:pPr>
        <w:rPr>
          <w:rFonts w:ascii="Times" w:eastAsia="Times New Roman" w:hAnsi="Times"/>
          <w:sz w:val="20"/>
          <w:szCs w:val="20"/>
        </w:rPr>
      </w:pPr>
    </w:p>
    <w:p w14:paraId="12079470" w14:textId="79B2ACA8" w:rsidR="009E5D32" w:rsidRDefault="009E5D32" w:rsidP="00124622">
      <w:pPr>
        <w:rPr>
          <w:rFonts w:eastAsia="Times New Roman"/>
        </w:rPr>
      </w:pPr>
      <w:proofErr w:type="spellStart"/>
      <w:r>
        <w:rPr>
          <w:rFonts w:eastAsia="Times New Roman"/>
        </w:rPr>
        <w:t>Woolford</w:t>
      </w:r>
      <w:proofErr w:type="spellEnd"/>
      <w:r>
        <w:rPr>
          <w:rFonts w:eastAsia="Times New Roman"/>
        </w:rPr>
        <w:t xml:space="preserve">, Ellen. 1999. More on the anaphor agreement effect. </w:t>
      </w:r>
      <w:r>
        <w:rPr>
          <w:rFonts w:eastAsia="Times New Roman"/>
          <w:i/>
        </w:rPr>
        <w:t>Linguistic Inquiry</w:t>
      </w:r>
      <w:r>
        <w:rPr>
          <w:rFonts w:eastAsia="Times New Roman"/>
        </w:rPr>
        <w:t xml:space="preserve"> 30.2</w:t>
      </w:r>
    </w:p>
    <w:p w14:paraId="6F3FB293" w14:textId="5696A197" w:rsidR="009E5D32" w:rsidRPr="009E5D32" w:rsidRDefault="009E5D32" w:rsidP="00124622">
      <w:r>
        <w:rPr>
          <w:rFonts w:eastAsia="Times New Roman"/>
        </w:rPr>
        <w:tab/>
        <w:t>257-287.</w:t>
      </w:r>
    </w:p>
    <w:sectPr w:rsidR="009E5D32" w:rsidRPr="009E5D32" w:rsidSect="00F743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D8C2E" w14:textId="77777777" w:rsidR="00C22D41" w:rsidRDefault="00C22D41" w:rsidP="003E1EA0">
      <w:r>
        <w:separator/>
      </w:r>
    </w:p>
  </w:endnote>
  <w:endnote w:type="continuationSeparator" w:id="0">
    <w:p w14:paraId="584E8F23" w14:textId="77777777" w:rsidR="00C22D41" w:rsidRDefault="00C22D41" w:rsidP="003E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7C96A" w14:textId="77777777" w:rsidR="00C22D41" w:rsidRDefault="00C22D41" w:rsidP="003E1EA0">
      <w:r>
        <w:separator/>
      </w:r>
    </w:p>
  </w:footnote>
  <w:footnote w:type="continuationSeparator" w:id="0">
    <w:p w14:paraId="18C8889C" w14:textId="77777777" w:rsidR="00C22D41" w:rsidRDefault="00C22D41" w:rsidP="003E1EA0">
      <w:r>
        <w:continuationSeparator/>
      </w:r>
    </w:p>
  </w:footnote>
  <w:footnote w:id="1">
    <w:p w14:paraId="6BEAB762" w14:textId="252C4DEB" w:rsidR="00C22D41" w:rsidRDefault="00C22D41">
      <w:pPr>
        <w:pStyle w:val="FootnoteText"/>
      </w:pPr>
      <w:r>
        <w:rPr>
          <w:rStyle w:val="FootnoteReference"/>
        </w:rPr>
        <w:footnoteRef/>
      </w:r>
      <w:r>
        <w:t xml:space="preserve"> Thanks to </w:t>
      </w:r>
      <w:proofErr w:type="spellStart"/>
      <w:r w:rsidRPr="00785A2F">
        <w:t>Halld</w:t>
      </w:r>
      <w:r>
        <w:t>ó</w:t>
      </w:r>
      <w:r w:rsidRPr="00785A2F">
        <w:t>r</w:t>
      </w:r>
      <w:proofErr w:type="spellEnd"/>
      <w:r>
        <w:t xml:space="preserve"> Sigurdsson for usefu</w:t>
      </w:r>
      <w:r w:rsidR="00316FC6">
        <w:t xml:space="preserve">l discussion and data provision. Thanks to Omer Preminger and Masha </w:t>
      </w:r>
      <w:proofErr w:type="spellStart"/>
      <w:r w:rsidR="00316FC6">
        <w:t>Polinsky</w:t>
      </w:r>
      <w:proofErr w:type="spellEnd"/>
      <w:r w:rsidR="00316FC6">
        <w:t xml:space="preserve"> for comments on an earlier draft. </w:t>
      </w:r>
    </w:p>
  </w:footnote>
  <w:footnote w:id="2">
    <w:p w14:paraId="14BA181F" w14:textId="391D7D7F" w:rsidR="00C22D41" w:rsidRDefault="00C22D41">
      <w:pPr>
        <w:pStyle w:val="FootnoteText"/>
      </w:pPr>
      <w:r>
        <w:rPr>
          <w:rStyle w:val="FootnoteReference"/>
        </w:rPr>
        <w:footnoteRef/>
      </w:r>
      <w:r>
        <w:t xml:space="preserve"> See </w:t>
      </w:r>
      <w:proofErr w:type="spellStart"/>
      <w:r>
        <w:t>Woolford</w:t>
      </w:r>
      <w:proofErr w:type="spellEnd"/>
      <w:r>
        <w:t xml:space="preserve"> (1999), henceforth W</w:t>
      </w:r>
      <w:proofErr w:type="gramStart"/>
      <w:r>
        <w:t>:99</w:t>
      </w:r>
      <w:proofErr w:type="gramEnd"/>
      <w:r>
        <w:t>.</w:t>
      </w:r>
    </w:p>
  </w:footnote>
  <w:footnote w:id="3">
    <w:p w14:paraId="3FBB3B99" w14:textId="57BFCAAE" w:rsidR="00C22D41" w:rsidRDefault="00C22D41">
      <w:pPr>
        <w:pStyle w:val="FootnoteText"/>
      </w:pPr>
      <w:r>
        <w:rPr>
          <w:rStyle w:val="FootnoteReference"/>
        </w:rPr>
        <w:footnoteRef/>
      </w:r>
      <w:r>
        <w:t xml:space="preserve"> See W</w:t>
      </w:r>
      <w:proofErr w:type="gramStart"/>
      <w:r>
        <w:t>:99</w:t>
      </w:r>
      <w:proofErr w:type="gramEnd"/>
      <w:r>
        <w:t xml:space="preserve"> section 2.</w:t>
      </w:r>
    </w:p>
  </w:footnote>
  <w:footnote w:id="4">
    <w:p w14:paraId="09023CAF" w14:textId="7B98D1A8" w:rsidR="00C22D41" w:rsidRDefault="00C22D41">
      <w:pPr>
        <w:pStyle w:val="FootnoteText"/>
      </w:pPr>
      <w:r>
        <w:rPr>
          <w:rStyle w:val="FootnoteReference"/>
        </w:rPr>
        <w:footnoteRef/>
      </w:r>
      <w:r>
        <w:t xml:space="preserve"> See W</w:t>
      </w:r>
      <w:proofErr w:type="gramStart"/>
      <w:r>
        <w:t>;99</w:t>
      </w:r>
      <w:proofErr w:type="gramEnd"/>
      <w:r>
        <w:t>, section 5.</w:t>
      </w:r>
    </w:p>
  </w:footnote>
  <w:footnote w:id="5">
    <w:p w14:paraId="5463171E" w14:textId="6501C5DF" w:rsidR="00C22D41" w:rsidRPr="007C1302" w:rsidRDefault="00C22D41" w:rsidP="007C1302">
      <w:pPr>
        <w:rPr>
          <w:rFonts w:ascii="Times" w:eastAsia="Times New Roman" w:hAnsi="Times"/>
          <w:sz w:val="20"/>
          <w:szCs w:val="20"/>
        </w:rPr>
      </w:pPr>
      <w:r>
        <w:rPr>
          <w:rStyle w:val="FootnoteReference"/>
        </w:rPr>
        <w:footnoteRef/>
      </w:r>
      <w:r>
        <w:t xml:space="preserve"> See </w:t>
      </w:r>
      <w:r w:rsidRPr="007C1302">
        <w:rPr>
          <w:rFonts w:ascii="Helvetica" w:eastAsia="Times New Roman" w:hAnsi="Helvetica"/>
          <w:color w:val="222222"/>
          <w:shd w:val="clear" w:color="auto" w:fill="FFFFFF"/>
        </w:rPr>
        <w:t> </w:t>
      </w:r>
      <w:r w:rsidRPr="007C1302">
        <w:rPr>
          <w:rFonts w:ascii="Times" w:eastAsia="Times New Roman" w:hAnsi="Times"/>
          <w:sz w:val="20"/>
          <w:szCs w:val="20"/>
        </w:rPr>
        <w:fldChar w:fldCharType="begin"/>
      </w:r>
      <w:r w:rsidRPr="007C1302">
        <w:rPr>
          <w:rFonts w:ascii="Times" w:eastAsia="Times New Roman" w:hAnsi="Times"/>
          <w:sz w:val="20"/>
          <w:szCs w:val="20"/>
        </w:rPr>
        <w:instrText xml:space="preserve"> HYPERLINK "http://ling.auf.net/lingbuzz/003221" \t "_blank" </w:instrText>
      </w:r>
      <w:r w:rsidRPr="007C1302">
        <w:rPr>
          <w:rFonts w:ascii="Times" w:eastAsia="Times New Roman" w:hAnsi="Times"/>
          <w:sz w:val="20"/>
          <w:szCs w:val="20"/>
        </w:rPr>
        <w:fldChar w:fldCharType="separate"/>
      </w:r>
      <w:r w:rsidRPr="007C1302">
        <w:rPr>
          <w:rFonts w:ascii="Helvetica" w:eastAsia="Times New Roman" w:hAnsi="Helvetica"/>
          <w:color w:val="3983C4"/>
          <w:sz w:val="20"/>
          <w:szCs w:val="20"/>
          <w:u w:val="single"/>
        </w:rPr>
        <w:t>http://ling.auf.net/lingbuzz/003221</w:t>
      </w:r>
      <w:r w:rsidRPr="007C1302">
        <w:rPr>
          <w:rFonts w:ascii="Times" w:eastAsia="Times New Roman" w:hAnsi="Times"/>
          <w:sz w:val="20"/>
          <w:szCs w:val="20"/>
        </w:rPr>
        <w:fldChar w:fldCharType="end"/>
      </w:r>
      <w:r>
        <w:rPr>
          <w:rFonts w:ascii="Times" w:eastAsia="Times New Roman" w:hAnsi="Times"/>
          <w:sz w:val="20"/>
          <w:szCs w:val="20"/>
        </w:rPr>
        <w:t xml:space="preserve"> </w:t>
      </w:r>
      <w:r w:rsidRPr="007C1302">
        <w:rPr>
          <w:rFonts w:eastAsia="Times New Roman"/>
        </w:rPr>
        <w:t>for pre-publication version</w:t>
      </w:r>
      <w:r>
        <w:rPr>
          <w:rFonts w:eastAsia="Times New Roman"/>
        </w:rPr>
        <w:t>.</w:t>
      </w:r>
    </w:p>
  </w:footnote>
  <w:footnote w:id="6">
    <w:p w14:paraId="7D706E23" w14:textId="2E0186CD" w:rsidR="00C22D41" w:rsidRDefault="00C22D41">
      <w:pPr>
        <w:pStyle w:val="FootnoteText"/>
      </w:pPr>
      <w:r>
        <w:rPr>
          <w:rStyle w:val="FootnoteReference"/>
        </w:rPr>
        <w:footnoteRef/>
      </w:r>
      <w:r>
        <w:t xml:space="preserve"> All data vetted and provided by </w:t>
      </w:r>
      <w:proofErr w:type="spellStart"/>
      <w:r>
        <w:t>Halldór</w:t>
      </w:r>
      <w:proofErr w:type="spellEnd"/>
      <w:r>
        <w:t xml:space="preserve"> Sigurdsson. Thx.</w:t>
      </w:r>
    </w:p>
  </w:footnote>
  <w:footnote w:id="7">
    <w:p w14:paraId="34A8F297" w14:textId="7E83B973" w:rsidR="00C22D41" w:rsidRPr="00EF169B" w:rsidRDefault="00C22D41">
      <w:pPr>
        <w:pStyle w:val="FootnoteText"/>
      </w:pPr>
      <w:r>
        <w:rPr>
          <w:rStyle w:val="FootnoteReference"/>
        </w:rPr>
        <w:footnoteRef/>
      </w:r>
      <w:r>
        <w:t xml:space="preserve"> As noted in Sigurdsson (1996:24), agreement with object nominative DPs is restricted to number. Non third </w:t>
      </w:r>
      <w:proofErr w:type="gramStart"/>
      <w:r>
        <w:t>person</w:t>
      </w:r>
      <w:proofErr w:type="gramEnd"/>
      <w:r>
        <w:t xml:space="preserve"> DPs are excluded from position DP</w:t>
      </w:r>
      <w:r>
        <w:rPr>
          <w:vertAlign w:val="subscript"/>
        </w:rPr>
        <w:t>NOM</w:t>
      </w:r>
      <w:r>
        <w:t xml:space="preserve"> in (1).</w:t>
      </w:r>
    </w:p>
  </w:footnote>
  <w:footnote w:id="8">
    <w:p w14:paraId="3A54CB55" w14:textId="0AD506CB" w:rsidR="00C22D41" w:rsidRDefault="00C22D41">
      <w:pPr>
        <w:pStyle w:val="FootnoteText"/>
      </w:pPr>
      <w:r>
        <w:rPr>
          <w:rStyle w:val="FootnoteReference"/>
        </w:rPr>
        <w:footnoteRef/>
      </w:r>
      <w:r>
        <w:t xml:space="preserve"> As noted, the AAE applies to simple reflexives. In many languages (e.g. Greek), more complex reflexives also exist. Icelandic is one of these. These complex reflexives are immune to the AAE. The standard explanation (see W</w:t>
      </w:r>
      <w:proofErr w:type="gramStart"/>
      <w:r>
        <w:t>:99</w:t>
      </w:r>
      <w:proofErr w:type="gramEnd"/>
      <w:r>
        <w:t>, section 3.3) is that the complex reflexive is composed of a pronominal inside a reflexive shell (i.e. [[pronoun] reflexive]) and the phi features on T agree with those of the pronominal rather than the reflexive, thus evading the AAE. Complex reflexives in Icelandic are of this variety and are licit, for example, in (4), where simplex reflexives are barred. Thus, substituting ‘</w:t>
      </w:r>
      <w:proofErr w:type="spellStart"/>
      <w:r>
        <w:t>peir</w:t>
      </w:r>
      <w:proofErr w:type="spellEnd"/>
      <w:r>
        <w:t xml:space="preserve"> </w:t>
      </w:r>
      <w:proofErr w:type="spellStart"/>
      <w:r>
        <w:t>sjálfir</w:t>
      </w:r>
      <w:proofErr w:type="spellEnd"/>
      <w:r>
        <w:t xml:space="preserve">’ (they-selves) for ‘sig’ in (4) renders the sentence acceptable. </w:t>
      </w:r>
    </w:p>
  </w:footnote>
  <w:footnote w:id="9">
    <w:p w14:paraId="3B45CF55" w14:textId="1ABCBC5A" w:rsidR="00C22D41" w:rsidRPr="003A36FF" w:rsidRDefault="00C22D41">
      <w:pPr>
        <w:pStyle w:val="FootnoteText"/>
      </w:pPr>
      <w:r>
        <w:rPr>
          <w:rStyle w:val="FootnoteReference"/>
        </w:rPr>
        <w:footnoteRef/>
      </w:r>
      <w:r>
        <w:t xml:space="preserve"> However, as expected, complex reflexives are fine (see note 8). </w:t>
      </w:r>
    </w:p>
  </w:footnote>
  <w:footnote w:id="10">
    <w:p w14:paraId="37E8A9EB" w14:textId="527CCEE1" w:rsidR="00C22D41" w:rsidRPr="00C22D41" w:rsidRDefault="00C22D41">
      <w:pPr>
        <w:pStyle w:val="FootnoteText"/>
      </w:pPr>
      <w:r>
        <w:rPr>
          <w:rStyle w:val="FootnoteReference"/>
        </w:rPr>
        <w:footnoteRef/>
      </w:r>
      <w:r>
        <w:t xml:space="preserve"> Let me be a bit pedantic here. What blocks DP</w:t>
      </w:r>
      <w:r>
        <w:rPr>
          <w:vertAlign w:val="superscript"/>
        </w:rPr>
        <w:t>2</w:t>
      </w:r>
      <w:r>
        <w:t xml:space="preserve"> in (5) from valuing the matrix </w:t>
      </w:r>
      <w:proofErr w:type="spellStart"/>
      <w:r>
        <w:t>T</w:t>
      </w:r>
      <w:r>
        <w:rPr>
          <w:vertAlign w:val="superscript"/>
        </w:rPr>
        <w:t>+Fin</w:t>
      </w:r>
      <w:proofErr w:type="spellEnd"/>
      <w:r>
        <w:t xml:space="preserve"> Pl feature is the unvalued Pl feature on the embedded T</w:t>
      </w:r>
      <w:r>
        <w:rPr>
          <w:vertAlign w:val="superscript"/>
        </w:rPr>
        <w:t>-Fin</w:t>
      </w:r>
      <w:r>
        <w:t xml:space="preserve">.  Effectively, this is an instance of </w:t>
      </w:r>
      <w:proofErr w:type="spellStart"/>
      <w:r>
        <w:t>minimality</w:t>
      </w:r>
      <w:proofErr w:type="spellEnd"/>
      <w:r w:rsidR="003B6A3F">
        <w:t xml:space="preserve"> (analogous to what we would expect were the embedded clause headed by </w:t>
      </w:r>
      <w:proofErr w:type="spellStart"/>
      <w:r w:rsidR="003B6A3F">
        <w:t>T</w:t>
      </w:r>
      <w:r w:rsidR="003B6A3F">
        <w:rPr>
          <w:vertAlign w:val="superscript"/>
        </w:rPr>
        <w:t>+Fin</w:t>
      </w:r>
      <w:proofErr w:type="spellEnd"/>
      <w:r w:rsidR="003B6A3F">
        <w:t>)</w:t>
      </w:r>
      <w:r>
        <w:t xml:space="preserve">. </w:t>
      </w:r>
      <w:r w:rsidR="003B6A3F">
        <w:t>Thus, i</w:t>
      </w:r>
      <w:r>
        <w:t xml:space="preserve">f the embedded T had no Pl feature, </w:t>
      </w:r>
      <w:proofErr w:type="spellStart"/>
      <w:r>
        <w:t>minimality</w:t>
      </w:r>
      <w:proofErr w:type="spellEnd"/>
      <w:r>
        <w:t xml:space="preserve"> would </w:t>
      </w:r>
      <w:r w:rsidR="0065782B">
        <w:t xml:space="preserve">not </w:t>
      </w:r>
      <w:r>
        <w:t>block valuation of the matrix T and we should expect ag</w:t>
      </w:r>
      <w:r w:rsidR="003B6A3F">
        <w:t>reement to be obligatory in (5), contrary to fact.</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5CDA"/>
    <w:multiLevelType w:val="hybridMultilevel"/>
    <w:tmpl w:val="497C9D8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838FC"/>
    <w:multiLevelType w:val="hybridMultilevel"/>
    <w:tmpl w:val="F632888A"/>
    <w:lvl w:ilvl="0" w:tplc="81BC8DA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3C1B4D"/>
    <w:multiLevelType w:val="hybridMultilevel"/>
    <w:tmpl w:val="F0F8FFE0"/>
    <w:lvl w:ilvl="0" w:tplc="6DCEF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11"/>
    <w:rsid w:val="000210B8"/>
    <w:rsid w:val="00082391"/>
    <w:rsid w:val="00085B12"/>
    <w:rsid w:val="000973D5"/>
    <w:rsid w:val="000A4E39"/>
    <w:rsid w:val="000B34DB"/>
    <w:rsid w:val="000B447B"/>
    <w:rsid w:val="000B5D4D"/>
    <w:rsid w:val="000C77C8"/>
    <w:rsid w:val="00124622"/>
    <w:rsid w:val="00126011"/>
    <w:rsid w:val="00130639"/>
    <w:rsid w:val="00141D43"/>
    <w:rsid w:val="00143A6A"/>
    <w:rsid w:val="001442C2"/>
    <w:rsid w:val="00151E9B"/>
    <w:rsid w:val="00170112"/>
    <w:rsid w:val="00175363"/>
    <w:rsid w:val="00184E49"/>
    <w:rsid w:val="001A4781"/>
    <w:rsid w:val="001A672F"/>
    <w:rsid w:val="001B1F07"/>
    <w:rsid w:val="001D6B40"/>
    <w:rsid w:val="0024277B"/>
    <w:rsid w:val="002447DD"/>
    <w:rsid w:val="00267FCF"/>
    <w:rsid w:val="00286FC2"/>
    <w:rsid w:val="002B627E"/>
    <w:rsid w:val="002C1C9C"/>
    <w:rsid w:val="002D516F"/>
    <w:rsid w:val="002D54F2"/>
    <w:rsid w:val="00300F78"/>
    <w:rsid w:val="00316FC6"/>
    <w:rsid w:val="00341698"/>
    <w:rsid w:val="00344F86"/>
    <w:rsid w:val="003815FB"/>
    <w:rsid w:val="00390951"/>
    <w:rsid w:val="00392E92"/>
    <w:rsid w:val="003A36FF"/>
    <w:rsid w:val="003B6A3F"/>
    <w:rsid w:val="003C4A83"/>
    <w:rsid w:val="003D3518"/>
    <w:rsid w:val="003E1EA0"/>
    <w:rsid w:val="003E258B"/>
    <w:rsid w:val="00415DEB"/>
    <w:rsid w:val="00425CFB"/>
    <w:rsid w:val="0043714E"/>
    <w:rsid w:val="00442E79"/>
    <w:rsid w:val="00482AFB"/>
    <w:rsid w:val="004A681C"/>
    <w:rsid w:val="004D24E4"/>
    <w:rsid w:val="004D3B45"/>
    <w:rsid w:val="005009A7"/>
    <w:rsid w:val="00504829"/>
    <w:rsid w:val="0053454A"/>
    <w:rsid w:val="00536B06"/>
    <w:rsid w:val="0054544B"/>
    <w:rsid w:val="005710EB"/>
    <w:rsid w:val="00587605"/>
    <w:rsid w:val="00597169"/>
    <w:rsid w:val="005A54B6"/>
    <w:rsid w:val="005D24DF"/>
    <w:rsid w:val="00623F97"/>
    <w:rsid w:val="0065782B"/>
    <w:rsid w:val="006660C4"/>
    <w:rsid w:val="00680E08"/>
    <w:rsid w:val="006810AE"/>
    <w:rsid w:val="00685B53"/>
    <w:rsid w:val="0068704E"/>
    <w:rsid w:val="006C66C2"/>
    <w:rsid w:val="006D30C0"/>
    <w:rsid w:val="006F5B95"/>
    <w:rsid w:val="00701A97"/>
    <w:rsid w:val="00702E4E"/>
    <w:rsid w:val="00707D9D"/>
    <w:rsid w:val="00713F58"/>
    <w:rsid w:val="00762950"/>
    <w:rsid w:val="007741EB"/>
    <w:rsid w:val="00785A2F"/>
    <w:rsid w:val="007B64BB"/>
    <w:rsid w:val="007C1302"/>
    <w:rsid w:val="007E6964"/>
    <w:rsid w:val="008048C9"/>
    <w:rsid w:val="00804DDA"/>
    <w:rsid w:val="008072AE"/>
    <w:rsid w:val="00820BBF"/>
    <w:rsid w:val="00846323"/>
    <w:rsid w:val="00884075"/>
    <w:rsid w:val="008868A0"/>
    <w:rsid w:val="00894BEB"/>
    <w:rsid w:val="0089504B"/>
    <w:rsid w:val="008A1C85"/>
    <w:rsid w:val="008B7FA8"/>
    <w:rsid w:val="008D48A2"/>
    <w:rsid w:val="008F0BE9"/>
    <w:rsid w:val="008F407E"/>
    <w:rsid w:val="008F67DA"/>
    <w:rsid w:val="0091082F"/>
    <w:rsid w:val="00953571"/>
    <w:rsid w:val="009B347A"/>
    <w:rsid w:val="009E5D32"/>
    <w:rsid w:val="00A23570"/>
    <w:rsid w:val="00A5675A"/>
    <w:rsid w:val="00A7713E"/>
    <w:rsid w:val="00A842BB"/>
    <w:rsid w:val="00A90642"/>
    <w:rsid w:val="00A92C53"/>
    <w:rsid w:val="00A965E4"/>
    <w:rsid w:val="00AC24A2"/>
    <w:rsid w:val="00AD2F73"/>
    <w:rsid w:val="00AE4B8B"/>
    <w:rsid w:val="00AE5D4B"/>
    <w:rsid w:val="00AF1383"/>
    <w:rsid w:val="00AF735A"/>
    <w:rsid w:val="00AF770E"/>
    <w:rsid w:val="00B045B4"/>
    <w:rsid w:val="00B15916"/>
    <w:rsid w:val="00B224CF"/>
    <w:rsid w:val="00B72CD3"/>
    <w:rsid w:val="00B75D6B"/>
    <w:rsid w:val="00B8596D"/>
    <w:rsid w:val="00BE5940"/>
    <w:rsid w:val="00BE69A6"/>
    <w:rsid w:val="00C22D41"/>
    <w:rsid w:val="00C2358B"/>
    <w:rsid w:val="00C264F8"/>
    <w:rsid w:val="00C26C97"/>
    <w:rsid w:val="00C34956"/>
    <w:rsid w:val="00C37E94"/>
    <w:rsid w:val="00C5537A"/>
    <w:rsid w:val="00C57A27"/>
    <w:rsid w:val="00C733BD"/>
    <w:rsid w:val="00C82CA1"/>
    <w:rsid w:val="00C90B62"/>
    <w:rsid w:val="00C97930"/>
    <w:rsid w:val="00CA35F1"/>
    <w:rsid w:val="00CD2CC2"/>
    <w:rsid w:val="00CD4497"/>
    <w:rsid w:val="00D13D0C"/>
    <w:rsid w:val="00D3160F"/>
    <w:rsid w:val="00D70F75"/>
    <w:rsid w:val="00D74844"/>
    <w:rsid w:val="00D86F2F"/>
    <w:rsid w:val="00D9646C"/>
    <w:rsid w:val="00DA24BA"/>
    <w:rsid w:val="00DD1175"/>
    <w:rsid w:val="00DE6367"/>
    <w:rsid w:val="00DF3079"/>
    <w:rsid w:val="00E2188F"/>
    <w:rsid w:val="00E21F3F"/>
    <w:rsid w:val="00E22F46"/>
    <w:rsid w:val="00E25342"/>
    <w:rsid w:val="00E66D62"/>
    <w:rsid w:val="00ED4FE6"/>
    <w:rsid w:val="00EE0967"/>
    <w:rsid w:val="00EF169B"/>
    <w:rsid w:val="00F02D72"/>
    <w:rsid w:val="00F23F44"/>
    <w:rsid w:val="00F26664"/>
    <w:rsid w:val="00F33D64"/>
    <w:rsid w:val="00F42220"/>
    <w:rsid w:val="00F432A0"/>
    <w:rsid w:val="00F51340"/>
    <w:rsid w:val="00F618C6"/>
    <w:rsid w:val="00F65830"/>
    <w:rsid w:val="00F743E0"/>
    <w:rsid w:val="00FA47E2"/>
    <w:rsid w:val="00FB3F58"/>
    <w:rsid w:val="00FB622E"/>
    <w:rsid w:val="00FC660E"/>
    <w:rsid w:val="00FE2D3C"/>
    <w:rsid w:val="00FF6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5C5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1EA0"/>
  </w:style>
  <w:style w:type="character" w:customStyle="1" w:styleId="FootnoteTextChar">
    <w:name w:val="Footnote Text Char"/>
    <w:basedOn w:val="DefaultParagraphFont"/>
    <w:link w:val="FootnoteText"/>
    <w:uiPriority w:val="99"/>
    <w:rsid w:val="003E1EA0"/>
  </w:style>
  <w:style w:type="character" w:styleId="FootnoteReference">
    <w:name w:val="footnote reference"/>
    <w:basedOn w:val="DefaultParagraphFont"/>
    <w:uiPriority w:val="99"/>
    <w:unhideWhenUsed/>
    <w:rsid w:val="003E1EA0"/>
    <w:rPr>
      <w:vertAlign w:val="superscript"/>
    </w:rPr>
  </w:style>
  <w:style w:type="paragraph" w:styleId="ListParagraph">
    <w:name w:val="List Paragraph"/>
    <w:basedOn w:val="Normal"/>
    <w:uiPriority w:val="34"/>
    <w:qFormat/>
    <w:rsid w:val="00AF770E"/>
    <w:pPr>
      <w:ind w:left="720"/>
      <w:contextualSpacing/>
    </w:pPr>
  </w:style>
  <w:style w:type="character" w:styleId="Hyperlink">
    <w:name w:val="Hyperlink"/>
    <w:basedOn w:val="DefaultParagraphFont"/>
    <w:uiPriority w:val="99"/>
    <w:unhideWhenUsed/>
    <w:rsid w:val="007C1302"/>
    <w:rPr>
      <w:color w:val="0000FF" w:themeColor="hyperlink"/>
      <w:u w:val="single"/>
    </w:rPr>
  </w:style>
  <w:style w:type="character" w:customStyle="1" w:styleId="apple-converted-space">
    <w:name w:val="apple-converted-space"/>
    <w:basedOn w:val="DefaultParagraphFont"/>
    <w:rsid w:val="007C13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E1EA0"/>
  </w:style>
  <w:style w:type="character" w:customStyle="1" w:styleId="FootnoteTextChar">
    <w:name w:val="Footnote Text Char"/>
    <w:basedOn w:val="DefaultParagraphFont"/>
    <w:link w:val="FootnoteText"/>
    <w:uiPriority w:val="99"/>
    <w:rsid w:val="003E1EA0"/>
  </w:style>
  <w:style w:type="character" w:styleId="FootnoteReference">
    <w:name w:val="footnote reference"/>
    <w:basedOn w:val="DefaultParagraphFont"/>
    <w:uiPriority w:val="99"/>
    <w:unhideWhenUsed/>
    <w:rsid w:val="003E1EA0"/>
    <w:rPr>
      <w:vertAlign w:val="superscript"/>
    </w:rPr>
  </w:style>
  <w:style w:type="paragraph" w:styleId="ListParagraph">
    <w:name w:val="List Paragraph"/>
    <w:basedOn w:val="Normal"/>
    <w:uiPriority w:val="34"/>
    <w:qFormat/>
    <w:rsid w:val="00AF770E"/>
    <w:pPr>
      <w:ind w:left="720"/>
      <w:contextualSpacing/>
    </w:pPr>
  </w:style>
  <w:style w:type="character" w:styleId="Hyperlink">
    <w:name w:val="Hyperlink"/>
    <w:basedOn w:val="DefaultParagraphFont"/>
    <w:uiPriority w:val="99"/>
    <w:unhideWhenUsed/>
    <w:rsid w:val="007C1302"/>
    <w:rPr>
      <w:color w:val="0000FF" w:themeColor="hyperlink"/>
      <w:u w:val="single"/>
    </w:rPr>
  </w:style>
  <w:style w:type="character" w:customStyle="1" w:styleId="apple-converted-space">
    <w:name w:val="apple-converted-space"/>
    <w:basedOn w:val="DefaultParagraphFont"/>
    <w:rsid w:val="007C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284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1811</Words>
  <Characters>10323</Characters>
  <Application>Microsoft Macintosh Word</Application>
  <DocSecurity>0</DocSecurity>
  <Lines>86</Lines>
  <Paragraphs>24</Paragraphs>
  <ScaleCrop>false</ScaleCrop>
  <Company>University of Maryland</Company>
  <LinksUpToDate>false</LinksUpToDate>
  <CharactersWithSpaces>12110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Hornstein</dc:creator>
  <cp:keywords/>
  <dc:description/>
  <cp:lastModifiedBy>Norbert Hornstein</cp:lastModifiedBy>
  <cp:revision>2</cp:revision>
  <dcterms:created xsi:type="dcterms:W3CDTF">2018-10-17T15:50:00Z</dcterms:created>
  <dcterms:modified xsi:type="dcterms:W3CDTF">2018-10-17T15:50:00Z</dcterms:modified>
</cp:coreProperties>
</file>