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present the same web interface and rule-based scheduling, each running its own firmware. They display hours, minutes, seconds, and tenths of a second using Nixie tubes with HV5530 shift-register drivers. The Zev-7S can be built with any of several tube types; the other models each use one. The clocks feature RGB backlighting behind the tubes, neon colon indicators, WiFi connectivity with NTP time sync, an optional motion sensor, an optional light sensor, an optional weather sensor, and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runs a third.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as well as the Zev-7. Every model except the Zev-7ND also has separate under-light LEDs along the front edge of the base. The under-light LEDs have independent brightness and color control and are not affected by LED effects.</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2.5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2.5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