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Zev-7NS and Zev-7ND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Zev-7NS (numitron)</w:t>
            </w:r>
          </w:p>
        </w:tc>
        <w:tc>
          <w:tcPr>
            <w:tcW w:type="dxa" w:w="3135"/>
          </w:tcPr>
          <w:p>
            <w:r>
              <w:rPr>
                <w:rFonts w:ascii="Arial" w:hAnsi="Arial"/>
                <w:sz w:val="20"/>
              </w:rPr>
              <w:t>Zev-7NS</w:t>
            </w:r>
          </w:p>
        </w:tc>
        <w:tc>
          <w:tcPr>
            <w:tcW w:type="dxa" w:w="3135"/>
          </w:tcPr>
          <w:p>
            <w:r>
              <w:rPr>
                <w:rFonts w:ascii="Arial" w:hAnsi="Arial"/>
                <w:sz w:val="20"/>
              </w:rPr>
              <w:t>4–20 RGB LEDs (color, brightness, and count configurable)</w:t>
            </w:r>
          </w:p>
        </w:tc>
      </w:tr>
      <w:tr>
        <w:tc>
          <w:tcPr>
            <w:tcW w:type="dxa" w:w="3135"/>
          </w:tcPr>
          <w:p>
            <w:r>
              <w:rPr>
                <w:rFonts w:ascii="Arial" w:hAnsi="Arial"/>
                <w:sz w:val="20"/>
              </w:rPr>
              <w:t>Zev-7ND (numitron)</w:t>
            </w:r>
          </w:p>
        </w:tc>
        <w:tc>
          <w:tcPr>
            <w:tcW w:type="dxa" w:w="3135"/>
          </w:tcPr>
          <w:p>
            <w:r>
              <w:rPr>
                <w:rFonts w:ascii="Arial" w:hAnsi="Arial"/>
                <w:sz w:val="20"/>
              </w:rPr>
              <w:t>Zev-7ND</w:t>
            </w:r>
          </w:p>
        </w:tc>
        <w:tc>
          <w:tcPr>
            <w:tcW w:type="dxa" w:w="3135"/>
          </w:tcPr>
          <w:p>
            <w:r>
              <w:rPr>
                <w:rFonts w:ascii="Arial" w:hAnsi="Arial"/>
                <w:sz w:val="20"/>
              </w:rPr>
              <w:t>None (two under-tube LEDs per display)</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of 4–20 LEDs)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