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firmware 1.1 and later. Carries every feature in this manual: Tube Healing (Section 15), dark and sunrise/sunset rules (Section 8), a six-lamp under-light, a fixed (static) IP address, and the health readout on SW1.</w:t>
      </w:r>
    </w:p>
    <w:p>
      <w:pPr>
        <w:pStyle w:val="ListBullet"/>
      </w:pPr>
      <w:r>
        <w:t>Metronome — firmware 2.2 and later.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