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fifteen-tube Metronome and Metronome-S, and the Nixie-tube models (Zev-7, Zev-7 Mini, Zev-7-18, Zev-7RZ,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your model — Zev-7S, Zev-7M (Mini), Zev-7-18, Zev-7RZ, Zev-7NS or Zev-7ND (numitron), Metronome or Metronome-S.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t>If an optional BME280, BME680, or BME688 sensor is installed, enable Temperature, Pressure, and Humidity on the Sensors page. Indoor Air Quality is also available with a BME680 or BME688.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The Metronome comes in two forms: the original and the Metronome-S, which uses a newer processor and carries the full feature set described in this manual. Both are driven by an ESP32 microcontroller and present the same web interface.</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and Metronome-S are the fifteen-tube clocks and run a third and a fourth. All are operationally similar, differing where the display hardware and its capabilities differ.</w:t>
      </w:r>
      <w:r>
        <w:rPr>
          <w:rFonts w:ascii="Arial" w:hAnsi="Arial"/>
          <w:sz w:val="22"/>
        </w:rPr>
      </w:r>
    </w:p>
    <w:p>
      <w:pPr>
        <w:pStyle w:val="Normal"/>
        <w:rPr/>
      </w:pPr>
      <w:r>
        <w:rPr>
          <w:rFonts w:ascii="Arial" w:hAnsi="Arial"/>
          <w:sz w:val="22"/>
        </w:rPr>
        <w:t>The Zev-7RZ uses Dalibor Farny R/Z568M Nixie tubes in place of the standard tubes fitted to the other models. It is otherwise identical to the Zev-7S, and every feature described in this manual applies to it unchanged.</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t>Metronome Variants (Metronome and Metronome-S)</w:t>
      </w:r>
    </w:p>
    <w:p>
      <w:pPr/>
      <w:r>
        <w:t>Both Metronomes have fifteen Nixie tubes and the same display layout (Section 3). They run separate firmware, and the Metronome-S is the more capable of the two:</w:t>
      </w:r>
    </w:p>
    <w:p>
      <w:pPr>
        <w:pStyle w:val="ListBullet"/>
      </w:pPr>
      <w:r>
        <w:t>Metronome-S — carries every feature in this manual: Tube Healing (Section 15), dark and sunrise/sunset rules (Section 8), a six-lamp under-light, a fixed (static) IP address, and the health readout on SW1.</w:t>
      </w:r>
    </w:p>
    <w:p>
      <w:pPr>
        <w:pStyle w:val="ListBullet"/>
      </w:pPr>
      <w:r>
        <w:t>Metronome — the original fifteen-tube clock. It has no under-light and no Tube Healing, its rules do not offer the dark condition or sunrise and sunset anchors, and it has no fixed-IP setting. Everything else in this manual applies.</w:t>
      </w:r>
    </w:p>
    <w:p>
      <w:pPr>
        <w:pStyle w:val="ListBullet"/>
      </w:pPr>
      <w:r>
        <w:t>No colon lamps. Neither Metronome has the neon colon separators fitted to the Zev-7, so Section 11 does not apply to them. A single decimal point on NX8 is used by the clock itself to mark the temperature sign and the pressure and humidity readings.</w:t>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with a separate under-board light string) and Zev-7ND (DTF-104B tubes, with no under-board string — the Under Lighting settings are hidden on that model). In AP mode they appear as the WiFi networks Zev-7NS and Zev-7ND, and are reachable by name at zev-7ns.local and zev-7nd.local respectively. The Zev-7ND also carries two LEDs under each tube rather than one, so it has an extra Display LED Grouping setting: Matched shows one color on all LEDs under each tube, while Separate runs every LED independently and lets the moving effects sweep at twice the resolution.</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seven Nixie tubes; the Metronome and Metronome-S have fifteen. The Zev-7 models also have a set of neon indicator lamps, which the Metronome models do not:</w:t>
      </w:r>
      <w:r>
        <w:rPr>
          <w:rFonts w:ascii="Arial" w:hAnsi="Arial"/>
          <w:sz w:val="22"/>
        </w:rPr>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your model — Zev-7S, Zev-7M, Zev-7-18, Zev-7RZ, Zev-7NS, Zev-7ND, Metronome or Metronome-S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the name of your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LED Grouping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 Matched  (Zev-7ND only — that model has two LEDs under each tube. Matched shows one color on all LEDs under each tube; Separate runs every LED independently)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ageBreakBefore w:val="0"/>
        <w:pBdr>
          <w:top w:val="single" w:sz="8" w:space="4" w:color="000000"/>
        </w:pBdr>
        <w:spacing w:before="280" w:after="120"/>
        <w:rPr/>
      </w:pPr>
      <w:r>
        <w:t>Weather Sensor (BME280, BME680, or BME688)</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http://zev-7-18.local/ for the Zev-7-18, http://zev-7rz.local/ for the Zev-7RZ, http://zev-7ns.local/ or http://zev-7nd.local/ for the numitron models, http://metronome.local/ for the Metronome, or http://metronome-s.local/ for the Metronome-S)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Display LED Grouping (Separate or Matched, Zev-7ND only)</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Nixie tubes are backlit by RGB LEDs, on the Metronome models as well as the Zev-7. The Zev-7 models except the Zev-7ND, and the Metronome-S, also have separate under-light LEDs along the base, set to a fixed colour and brightness rather than an effect. The original Metronome has no under-light.</w:t>
      </w:r>
    </w:p>
    <w:p>
      <w:pPr>
        <w:pStyle w:val="Normal"/>
        <w:rPr/>
      </w:pPr>
      <w:r>
        <w:rPr>
          <w:rFonts w:ascii="Arial" w:hAnsi="Arial"/>
          <w:sz w:val="22"/>
        </w:rPr>
        <w:t>LED effects apply to the tube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r>
        <w:t>This section applies to the Zev-7 models only. Neither Metronome has colon lamps fitted.</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t>Temperature: Shown as a rounded whole degree. Temperature units are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t>Humidity: Displayed as a rounded whole percentage.</w:t>
      </w:r>
    </w:p>
    <w:p>
      <w:pPr/>
      <w:r>
        <w:t>Indoor Air Quality: Bosch IAQ index from 0 to 500, shown as a whole number without a colon; available with BME680 or BME688.</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t>The leftmost digit identifies each weather reading: 1 = temperature, 2 = pressure, 3 = humidity, and 4 = indoor air quality. The number is fixed for the reading, even when other readings are disabled. The second digit stays blank to separate the identifier from the value. 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t>Temperature, Pressure, Humidity, and Indoor Air Quality</w:t>
      </w:r>
    </w:p>
    <w:p>
      <w:pPr>
        <w:pStyle w:val="Normal"/>
        <w:rPr/>
      </w:pPr>
      <w:r>
        <w:t>An optional BME280, BME680, or BME688 sensor supplies temperature, barometric pressure, and humidity for the weather display cycle. A temperature offset is available. With a BME680 or BME688, turn on Indoor Air Quality to add Bosch's IAQ index as a whole-number step after humidity; no colon or decimal point is lit for this reading.</w:t>
      </w:r>
    </w:p>
    <w:p>
      <w:pPr>
        <w:pStyle w:val="Normal"/>
        <w:rPr/>
      </w:pPr>
      <w:r>
        <w:t>The clock detects the sensor at startup at I2C address 0x76 or 0x77 and labels it in the settings page. If multiple supported sensors are present, it uses the BME688 first. Weather settings are hidden when no supported sensor is found. The Indoor Air Quality toggle appears only with a BME680 or BME688.</w:t>
      </w:r>
    </w:p>
    <w:p>
      <w:pPr/>
      <w:r>
        <w:rPr>
          <w:b/>
        </w:rPr>
        <w:t xml:space="preserve">Bosch IAQ index. </w:t>
      </w:r>
      <w:r>
        <w:t>The 0–500 scale runs from clean to polluted air; lower is better. BSEC estimates it from the sensor's gas response and recent air history. It is not a direct CO₂ or particle reading, and it is not the outdoor EPA AQI. Early readings may change while the sensor calibrates.</w:t>
      </w:r>
    </w:p>
    <w:tbl>
      <w:tblPr>
        <w:tblStyle w:val="TableGrid"/>
        <w:tblW w:type="auto" w:w="0"/>
        <w:tblLayout w:type="fixed"/>
        <w:tblLook w:firstColumn="1" w:firstRow="1" w:lastColumn="0" w:lastRow="0" w:noHBand="0" w:noVBand="1" w:val="04A0"/>
      </w:tblPr>
      <w:tblGrid>
        <w:gridCol w:w="1800"/>
        <w:gridCol w:w="6840"/>
      </w:tblGrid>
      <w:tr>
        <w:tc>
          <w:tcPr>
            <w:tcW w:type="dxa" w:w="4703"/>
            <w:vAlign w:val="center"/>
            <w:shd w:fill="E7EBEF"/>
          </w:tcPr>
          <w:p>
            <w:r>
              <w:rPr>
                <w:b/>
              </w:rPr>
              <w:t>IAQ index</w:t>
            </w:r>
          </w:p>
        </w:tc>
        <w:tc>
          <w:tcPr>
            <w:tcW w:type="dxa" w:w="4703"/>
            <w:vAlign w:val="center"/>
            <w:shd w:fill="E7EBEF"/>
          </w:tcPr>
          <w:p>
            <w:r>
              <w:rPr>
                <w:b/>
              </w:rPr>
              <w:t>Bosch description</w:t>
            </w:r>
          </w:p>
        </w:tc>
      </w:tr>
      <w:tr>
        <w:tc>
          <w:tcPr>
            <w:tcW w:type="dxa" w:w="1800"/>
            <w:vAlign w:val="center"/>
          </w:tcPr>
          <w:p>
            <w:r>
              <w:t>0–50</w:t>
            </w:r>
          </w:p>
        </w:tc>
        <w:tc>
          <w:tcPr>
            <w:tcW w:type="dxa" w:w="6840"/>
            <w:vAlign w:val="center"/>
          </w:tcPr>
          <w:p>
            <w:r>
              <w:t>Excellent</w:t>
            </w:r>
          </w:p>
        </w:tc>
      </w:tr>
      <w:tr>
        <w:tc>
          <w:tcPr>
            <w:tcW w:type="dxa" w:w="1800"/>
            <w:vAlign w:val="center"/>
          </w:tcPr>
          <w:p>
            <w:r>
              <w:t>51–100</w:t>
            </w:r>
          </w:p>
        </w:tc>
        <w:tc>
          <w:tcPr>
            <w:tcW w:type="dxa" w:w="6840"/>
            <w:vAlign w:val="center"/>
          </w:tcPr>
          <w:p>
            <w:r>
              <w:t>Good</w:t>
            </w:r>
          </w:p>
        </w:tc>
      </w:tr>
      <w:tr>
        <w:tc>
          <w:tcPr>
            <w:tcW w:type="dxa" w:w="1800"/>
            <w:vAlign w:val="center"/>
          </w:tcPr>
          <w:p>
            <w:r>
              <w:t>101–150</w:t>
            </w:r>
          </w:p>
        </w:tc>
        <w:tc>
          <w:tcPr>
            <w:tcW w:type="dxa" w:w="6840"/>
            <w:vAlign w:val="center"/>
          </w:tcPr>
          <w:p>
            <w:r>
              <w:t>Lightly polluted</w:t>
            </w:r>
          </w:p>
        </w:tc>
      </w:tr>
      <w:tr>
        <w:tc>
          <w:tcPr>
            <w:tcW w:type="dxa" w:w="1800"/>
            <w:vAlign w:val="center"/>
          </w:tcPr>
          <w:p>
            <w:r>
              <w:t>151–200</w:t>
            </w:r>
          </w:p>
        </w:tc>
        <w:tc>
          <w:tcPr>
            <w:tcW w:type="dxa" w:w="6840"/>
            <w:vAlign w:val="center"/>
          </w:tcPr>
          <w:p>
            <w:r>
              <w:t>Moderately polluted</w:t>
            </w:r>
          </w:p>
        </w:tc>
      </w:tr>
      <w:tr>
        <w:tc>
          <w:tcPr>
            <w:tcW w:type="dxa" w:w="1800"/>
            <w:vAlign w:val="center"/>
          </w:tcPr>
          <w:p>
            <w:r>
              <w:t>201–250</w:t>
            </w:r>
          </w:p>
        </w:tc>
        <w:tc>
          <w:tcPr>
            <w:tcW w:type="dxa" w:w="6840"/>
            <w:vAlign w:val="center"/>
          </w:tcPr>
          <w:p>
            <w:r>
              <w:t>Heavily polluted</w:t>
            </w:r>
          </w:p>
        </w:tc>
      </w:tr>
      <w:tr>
        <w:tc>
          <w:tcPr>
            <w:tcW w:type="dxa" w:w="1800"/>
            <w:vAlign w:val="center"/>
          </w:tcPr>
          <w:p>
            <w:r>
              <w:t>251–350</w:t>
            </w:r>
          </w:p>
        </w:tc>
        <w:tc>
          <w:tcPr>
            <w:tcW w:type="dxa" w:w="6840"/>
            <w:vAlign w:val="center"/>
          </w:tcPr>
          <w:p>
            <w:r>
              <w:t>Severely polluted</w:t>
            </w:r>
          </w:p>
        </w:tc>
      </w:tr>
      <w:tr>
        <w:tc>
          <w:tcPr>
            <w:tcW w:type="dxa" w:w="1800"/>
            <w:vAlign w:val="center"/>
          </w:tcPr>
          <w:p>
            <w:r>
              <w:t>351–500</w:t>
            </w:r>
          </w:p>
        </w:tc>
        <w:tc>
          <w:tcPr>
            <w:tcW w:type="dxa" w:w="6840"/>
            <w:vAlign w:val="center"/>
          </w:tcPr>
          <w:p>
            <w:r>
              <w:t>Extremely polluted</w:t>
            </w:r>
          </w:p>
        </w:tc>
      </w:tr>
    </w:tbl>
    <w:p>
      <w:pPr>
        <w:pStyle w:val="Heading2"/>
        <w:keepNext w:val="true"/>
        <w:pageBreakBefor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digit (0–9 across the top) and one row per tube (numbered from the left).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in its tube’s row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rotation begins when the window opens, starting with the lowest selected digit, so every digit — including the first — gets its full five minutes; a window that ends and later reopens starts the rotation over from the first selected digit.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model)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your model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
    <w:r>
      <w:rPr/>
    </w:r>
    <w:r>
      <w:rPr/>
    </w:r>
    <w:r>
      <w:rPr/>
      <w:t>i</w:t>
    </w: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QS-</w:t>
    </w:r>
    <w:r>
      <w:rPr/>
    </w:r>
    <w:r>
      <w:rPr/>
    </w:r>
    <w:r>
      <w:rPr/>
    </w:r>
    <w:r>
      <w:rPr/>
      <w:t>2</w:t>
    </w: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w:t>
    </w:r>
    <w:r>
      <w:rPr/>
    </w:r>
    <w:r>
      <w:rPr/>
    </w:r>
    <w:r>
      <w:rPr/>
    </w:r>
    <w:r>
      <w:rPr/>
      <w:t>1</w:t>
    </w: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2-</w:t>
    </w:r>
    <w:r>
      <w:rPr/>
    </w:r>
    <w:r>
      <w:rPr/>
    </w:r>
    <w:r>
      <w:rPr/>
    </w:r>
    <w:r>
      <w:rPr/>
      <w:t>1</w:t>
    </w: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3-</w:t>
    </w:r>
    <w:r>
      <w:rPr/>
    </w:r>
    <w:r>
      <w:rPr/>
    </w:r>
    <w:r>
      <w:rPr/>
    </w:r>
    <w:r>
      <w:rPr/>
      <w:t>1</w:t>
    </w: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4-</w:t>
    </w:r>
    <w:r>
      <w:rPr/>
    </w:r>
    <w:r>
      <w:rPr/>
    </w:r>
    <w:r>
      <w:rPr/>
    </w:r>
    <w:r>
      <w:rPr/>
      <w:t>1</w:t>
    </w: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5-</w:t>
    </w:r>
    <w:r>
      <w:rPr/>
    </w:r>
    <w:r>
      <w:rPr/>
    </w:r>
    <w:r>
      <w:rPr/>
    </w:r>
    <w:r>
      <w:rPr/>
      <w:t>1</w:t>
    </w: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6-</w:t>
    </w:r>
    <w:r>
      <w:rPr/>
    </w:r>
    <w:r>
      <w:rPr/>
    </w:r>
    <w:r>
      <w:rPr/>
    </w:r>
    <w:r>
      <w:rPr/>
      <w:t>4</w:t>
    </w: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7-</w:t>
    </w:r>
    <w:r>
      <w:rPr/>
    </w:r>
    <w:r>
      <w:rPr/>
    </w:r>
    <w:r>
      <w:rPr/>
    </w:r>
    <w:r>
      <w:rPr/>
      <w:t>2</w:t>
    </w: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9-</w:t>
    </w:r>
    <w:r>
      <w:rPr/>
    </w:r>
    <w:r>
      <w:rPr/>
    </w:r>
    <w:r>
      <w:rPr/>
    </w:r>
    <w:r>
      <w:rPr/>
      <w:t>1</w:t>
    </w:r>
    <w:r>
      <w:rPr/>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10-</w:t>
    </w:r>
    <w:r>
      <w:rPr/>
    </w:r>
    <w:r>
      <w:rPr/>
    </w:r>
    <w:r>
      <w:rPr/>
    </w:r>
    <w:r>
      <w:rPr/>
      <w:t>1</w:t>
    </w:r>
    <w:r>
      <w:rPr/>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11-</w:t>
    </w:r>
    <w:r>
      <w:rPr/>
    </w:r>
    <w:r>
      <w:rPr/>
    </w:r>
    <w:r>
      <w:rPr/>
    </w:r>
    <w:r>
      <w:rPr/>
      <w:t>1</w:t>
    </w:r>
    <w:r>
      <w:rPr/>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12-</w:t>
    </w:r>
    <w:r>
      <w:rPr/>
    </w:r>
    <w:r>
      <w:rPr/>
    </w:r>
    <w:r>
      <w:rPr/>
    </w:r>
    <w:r>
      <w:rPr/>
      <w:t>1</w:t>
    </w:r>
    <w:r>
      <w:rPr/>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13-</w:t>
    </w:r>
    <w:r>
      <w:rPr/>
    </w:r>
    <w:r>
      <w:rPr/>
    </w:r>
    <w:r>
      <w:rPr/>
    </w:r>
    <w:r>
      <w:rPr/>
      <w:t>1</w:t>
    </w:r>
    <w:r>
      <w:rPr/>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14-</w:t>
    </w:r>
    <w:r>
      <w:rPr/>
    </w:r>
    <w:r>
      <w:rPr/>
    </w:r>
    <w:r>
      <w:rPr/>
    </w:r>
    <w:r>
      <w:rPr/>
      <w:t>2</w:t>
    </w:r>
    <w:r>
      <w:rPr/>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16-</w:t>
    </w:r>
    <w:r>
      <w:rPr/>
    </w:r>
    <w:r>
      <w:rPr/>
    </w:r>
    <w:r>
      <w:rPr/>
    </w:r>
    <w:r>
      <w:rPr/>
      <w:t>1</w:t>
    </w:r>
    <w:r>
      <w:r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17-</w:t>
    </w:r>
    <w:r>
      <w:rPr/>
    </w:r>
    <w:r>
      <w:rPr/>
    </w:r>
    <w:r>
      <w:rPr/>
    </w:r>
    <w:r>
      <w:rPr/>
      <w:t>1</w:t>
    </w:r>
    <w:r>
      <w:rPr/>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19-</w:t>
    </w:r>
    <w:r>
      <w:rPr/>
    </w:r>
    <w:r>
      <w:rPr/>
    </w:r>
    <w:r>
      <w:rPr/>
    </w:r>
    <w:r>
      <w:rPr/>
      <w:t>2</w:t>
    </w:r>
    <w:r>
      <w:rPr/>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8-</w:t>
    </w:r>
    <w:r>
      <w:rPr/>
    </w:r>
    <w:r>
      <w:rPr/>
    </w:r>
    <w:r>
      <w:rPr/>
    </w:r>
    <w:r>
      <w:rPr/>
      <w:t>1</w:t>
    </w:r>
    <w:r>
      <w:rPr/>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15-</w:t>
    </w:r>
    <w:r>
      <w:rPr/>
    </w:r>
    <w:r>
      <w:rPr/>
    </w:r>
    <w:r>
      <w:rPr/>
    </w:r>
    <w:r>
      <w:rPr/>
      <w:t>1</w:t>
    </w:r>
    <w:r>
      <w:rPr/>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18-</w:t>
    </w:r>
    <w:r>
      <w:rPr/>
    </w:r>
    <w:r>
      <w:rPr/>
    </w:r>
    <w:r>
      <w:rPr/>
    </w:r>
    <w:r>
      <w:rPr/>
      <w:t>2</w:t>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