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your model — Zev-7S, Zev-7M (Mini), Zev-7-18, Zev-7RZ, Zev-7NS or Zev-7ND (numitron), or Metronome.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are functionally identical to the Zev-7 and run the same firmware, but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share the same firmware, web interface, and rule-based scheduling. They display hours, minutes, seconds, and tenths of a second using IN-14 Nixie tubes with HV5530 shift-register drivers. The clocks feature RGB backlighting behind the tubes, neon colon indicators, WiFi connectivity with NTP time sync, an optional motion sensor, an optional light sensor, an optional weather sensor, and (Zev-7 only) an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 variants share this firmware. The model is set at the factory and cannot be changed by the user. The Zev-7S, Zev-7 Mini, Zev-7-18 and Zev-7RZ are Nixie-tube clocks; the Zev-7NS and Zev-7ND are the equivalent numitron-tube clocks. The Metronome uses a separate but operationally similar version of the software.</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rPr>
          <w:rFonts w:ascii="Arial" w:hAnsi="Arial"/>
        </w:rPr>
        <w:t>Numitron Variants (Zev-7NS and Zev-7ND)</w:t>
      </w:r>
    </w:p>
    <w:p>
      <w:pPr/>
      <w:r>
        <w:rPr>
          <w:rFonts w:ascii="Arial" w:hAnsi="Arial"/>
          <w:sz w:val="22"/>
        </w:rPr>
        <w:t>The numitron models run the same firmware as the Zev-7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four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one under-tube LED per display, plus a separate under-board light string of 4–20 LEDs) and Zev-7ND (DTF-104B tubes, two under-tube LEDs per display, no under-board string — the Under Lighting settings are hidden on that model). In AP mode they appear as the WiFi networks Zev-7NS and Zev-7ND, and are reachable by name at zev-7ns.local and zev-7nd.local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displays. </w:t>
      </w:r>
      <w:r>
        <w:rPr>
          <w:rFonts w:eastAsia="ＭＳ 明朝" w:cs="" w:ascii="Arial" w:hAnsi="Arial"/>
          <w:kern w:val="0"/>
          <w:sz w:val="22"/>
          <w:szCs w:val="22"/>
          <w:lang w:val="en-US" w:eastAsia="en-US" w:bidi="ar-SA"/>
        </w:rPr>
        <w:t>The following tubes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w:t>
            </w:r>
            <w:r>
              <w:rPr>
                <w:rFonts w:eastAsia="ＭＳ 明朝" w:cs="" w:ascii="Arial" w:hAnsi="Arial"/>
                <w:kern w:val="0"/>
                <w:sz w:val="20"/>
                <w:szCs w:val="22"/>
                <w:lang w:val="en-US" w:eastAsia="en-US" w:bidi="ar-SA"/>
              </w:rPr>
              <w: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tens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your model — Zev-7S, Zev-7M, Zev-7-18, Zev-7RZ, Zev-7NS, Zev-7ND or Metronome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brightness (0-9, 0 = off). No effect on the Zev-7ND, which has no under-board string.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color. Same hex or color-name format as lc. No effect on the Zev-7ND.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Bare keyword (no = value). Shortcut that expands to nb=0, lb=0, ub=0 (everything off: Nixie tubes, digit LEDs, and under-light). On the Zev-7ND, ub is accepted but has no effect.</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7 RGB LEDs behind the Nixie tubes — one per tube, or two per tube on the Zev-7-18 and Zev-7RZ; the Metronome has 15 RGB LEDs (one per tube). Every model except the Zev-7ND also has separate under-light LEDs along the front edge of the base, configurable from 4 to 20 in the AP Configuration form with a choice of APA102 or WS2812B chip types (the factory default depends on the model). The Metronome has 7, and the Zev-7RZ’s 7 are part of one fixed chain and cannot be reconfigured.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Temperature / Pressure / Humidity (BME280)</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tube and one row per digit.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under its tube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19-</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18-</w:t>
    </w:r>
    <w:r>
      <w:rPr/>
      <w:fldChar w:fldCharType="begin"/>
    </w:r>
    <w:r>
      <w:rPr/>
      <w:instrText xml:space="preserve"> PAGE </w:instrText>
    </w:r>
    <w:r>
      <w:rPr/>
      <w:fldChar w:fldCharType="separate"/>
    </w:r>
    <w:r>
      <w:rPr/>
      <w:t>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