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 styles plus Rotate Styles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8)</w:t>
            </w:r>
          </w:p>
        </w:tc>
      </w:tr>
      <w:tr>
        <w:tc>
          <w:tcPr>
            <w:tcW w:type="dxa" w:w="3744"/>
          </w:tcPr>
          <w:p>
            <w:r/>
            <w:r>
              <w:rPr>
                <w:rFonts w:ascii="Arial" w:hAnsi="Arial"/>
                <w:b/>
                <w:sz w:val="22"/>
              </w:rPr>
              <w:t>Covers Software:</w:t>
            </w:r>
          </w:p>
        </w:tc>
        <w:tc>
          <w:tcPr>
            <w:tcW w:type="dxa" w:w="4320"/>
          </w:tcPr>
          <w:p>
            <w:r/>
            <w:r>
              <w:rPr>
                <w:rFonts w:ascii="Arial" w:hAnsi="Arial"/>
                <w:sz w:val="22"/>
              </w:rPr>
              <w:t>RingClock 2.5;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691"/>
          <w:footerReference w:type="default" r:id="rId69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Hand Styles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693"/>
          <w:footerReference w:type="default" r:id="rId694"/>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hand style.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Hand Style and Interlude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695"/>
          <w:footerReference w:type="default" r:id="rId69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hand styles plus Rotate Styles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2.5.</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drawn in the selected hand style. Fifteen hand styles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697"/>
          <w:footerReference w:type="default" r:id="rId69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699"/>
          <w:footerReference w:type="default" r:id="rId70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individual hand styles plus Rotate Styles (Section 7) determine how the hands draw themselves: as single dots, comet trails, growing arcs, radar sweeps, paint trails, and so on.</w:t>
      </w:r>
    </w:p>
    <w:p>
      <w:r>
        <w:rPr>
          <w:rFonts w:ascii="Arial" w:hAnsi="Arial"/>
          <w:sz w:val="22"/>
        </w:rPr>
        <w:t>Seven effect layers can be enabled independently and overlaid on whichever hand style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701"/>
          <w:footerReference w:type="default" r:id="rId70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703"/>
          <w:footerReference w:type="default" r:id="rId70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the Hand Spin interlude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705"/>
          <w:footerReference w:type="default" r:id="rId70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707"/>
          <w:footerReference w:type="default" r:id="rId70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Hand Styles</w:t>
      </w:r>
    </w:p>
    <w:p>
      <w:pPr>
        <w:spacing w:before="0" w:after="0"/>
        <w:pBdr>
          <w:bottom w:val="single" w:sz="18" w:space="1" w:color="000000"/>
        </w:pBdr>
      </w:pPr>
    </w:p>
    <w:p>
      <w:pPr>
        <w:spacing w:before="0" w:after="80"/>
      </w:pPr>
    </w:p>
    <w:p>
      <w:r>
        <w:rPr>
          <w:rFonts w:ascii="Arial" w:hAnsi="Arial"/>
          <w:sz w:val="22"/>
        </w:rPr>
        <w:t>The RingClock's Display page exposes a Hand Style dropdown with sixteen options (styles 0–14 plus Rotate Styles). Each style controls how the hour, minute, and second hands appear on the ring; the always-on layers (Pendulum, Pendant, 5-Minute Marks, Quarter Marks, Sparkle, Background, Drift) overlay on top of whichever style is selected.</w:t>
      </w:r>
    </w:p>
    <w:p>
      <w:pPr>
        <w:pStyle w:val="Heading2"/>
        <w:keepNext/>
        <w:spacing w:before="280" w:after="120"/>
        <w:pBdr>
          <w:top w:val="single" w:sz="8" w:space="4" w:color="000000"/>
          <w:top w:val="single" w:sz="8" w:space="4" w:color="000000"/>
        </w:pBdr>
      </w:pPr>
      <w:r>
        <w:rPr>
          <w:rFonts w:ascii="Arial" w:hAnsi="Arial"/>
          <w:b/>
          <w:color w:val="000000"/>
          <w:sz w:val="26"/>
        </w:rPr>
        <w:t>Styles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Hand Style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Each hand fills a solid arc from 12 o'clock clockwise to its current position. Time as a growing pie chart.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Same as Fill CW but the arc grows with an easing animation rather than jumping.</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Each arc fills from 12 o'clock counter-clockwise; the lit area shrinks as time advances. Remaining time as a shrinking pie chart.</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Same as Fill CCW with smooth easing transitions.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Paint</w:t>
            </w:r>
          </w:p>
        </w:tc>
        <w:tc>
          <w:tcPr>
            <w:tcW w:type="dxa" w:w="2880"/>
          </w:tcPr>
          <w:p>
            <w:pPr>
              <w:spacing w:after="60"/>
            </w:pPr>
            <w:r>
              <w:rPr>
                <w:rFonts w:ascii="Arial" w:hAnsi="Arial"/>
                <w:sz w:val="20"/>
              </w:rPr>
              <w:t>Each hand paints a sweeping trail from 12 o'clock to its current position; trails fade slowly, layering color traces over time. A steady dot stays lit at each hand's position, so the time remains readable while the trails paint.</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a full 360° orbit, painting a fading trail. Spiraling color patterns at three speeds.</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green ambient ring with a bright 8-LED arc trailing behind the second hand — sonar-style.</w:t>
            </w:r>
          </w:p>
        </w:tc>
      </w:tr>
      <w:tr>
        <w:trPr>
          <w:cantSplit/>
        </w:trPr>
        <w:tc>
          <w:tcPr>
            <w:tcW w:type="dxa" w:w="2880"/>
          </w:tcPr>
          <w:p>
            <w:pPr>
              <w:spacing w:after="60"/>
            </w:pPr>
            <w:r>
              <w:rPr>
                <w:rFonts w:ascii="Arial" w:hAnsi="Arial"/>
                <w:sz w:val="20"/>
              </w:rPr>
              <w:t>11</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at about one heartbeat per second. Calm, ideal for dim rooms.</w:t>
            </w:r>
          </w:p>
        </w:tc>
      </w:tr>
      <w:tr>
        <w:trPr>
          <w:cantSplit/>
        </w:trPr>
        <w:tc>
          <w:tcPr>
            <w:tcW w:type="dxa" w:w="2880"/>
          </w:tcPr>
          <w:p>
            <w:pPr>
              <w:spacing w:after="60"/>
            </w:pPr>
            <w:r>
              <w:rPr>
                <w:rFonts w:ascii="Arial" w:hAnsi="Arial"/>
                <w:sz w:val="20"/>
              </w:rPr>
              <w:t>12</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13</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bright white spark sprints from 12 o'clock to the current second position with a cubic ease-out.</w:t>
            </w:r>
          </w:p>
        </w:tc>
      </w:tr>
      <w:tr>
        <w:trPr>
          <w:cantSplit/>
        </w:trPr>
        <w:tc>
          <w:tcPr>
            <w:tcW w:type="dxa" w:w="2880"/>
          </w:tcPr>
          <w:p>
            <w:pPr>
              <w:spacing w:after="60"/>
            </w:pPr>
            <w:r>
              <w:rPr>
                <w:rFonts w:ascii="Arial" w:hAnsi="Arial"/>
                <w:sz w:val="20"/>
              </w:rPr>
              <w:t>14</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white dot drops from 12 o'clock with quadratic ease-in — slow start, accelerating finish, like gravity.</w:t>
            </w:r>
          </w:p>
        </w:tc>
      </w:tr>
      <w:tr>
        <w:trPr>
          <w:cantSplit/>
        </w:trPr>
        <w:tc>
          <w:tcPr>
            <w:tcW w:type="dxa" w:w="2880"/>
          </w:tcPr>
          <w:p>
            <w:pPr>
              <w:spacing w:after="60"/>
            </w:pPr>
            <w:r>
              <w:rPr>
                <w:rFonts w:ascii="Arial" w:hAnsi="Arial"/>
                <w:sz w:val="20"/>
              </w:rPr>
              <w:t>15</w:t>
            </w:r>
          </w:p>
        </w:tc>
        <w:tc>
          <w:tcPr>
            <w:tcW w:type="dxa" w:w="2880"/>
          </w:tcPr>
          <w:p>
            <w:pPr>
              <w:spacing w:after="60"/>
            </w:pPr>
            <w:r>
              <w:rPr>
                <w:rFonts w:ascii="Arial" w:hAnsi="Arial"/>
                <w:sz w:val="20"/>
              </w:rPr>
              <w:t>Rotate Styles</w:t>
            </w:r>
          </w:p>
        </w:tc>
        <w:tc>
          <w:tcPr>
            <w:tcW w:type="dxa" w:w="2880"/>
          </w:tcPr>
          <w:p>
            <w:pPr>
              <w:spacing w:after="60"/>
            </w:pPr>
            <w:r>
              <w:rPr>
                <w:rFonts w:ascii="Arial" w:hAnsi="Arial"/>
                <w:sz w:val="20"/>
              </w:rPr>
              <w:t>Advances through hand styles 0–14 once per minute; rules may supply a custom order with ro=.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Interludes</w:t>
      </w:r>
    </w:p>
    <w:p>
      <w:r>
        <w:rPr>
          <w:rFonts w:ascii="Arial" w:hAnsi="Arial"/>
          <w:sz w:val="22"/>
        </w:rPr>
        <w:t>Interlude selects a five-second flourish that runs over the normal clock display. Interlude Interval sets how often it runs: 1, 5, 15 or 30 minutes, or Hourly. Factory defaults are Hand Spin every 1 minute. Hand Style continues to select the normal hand display between interludes.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Interlude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il=0</w:t>
            </w:r>
          </w:p>
        </w:tc>
        <w:tc>
          <w:tcPr>
            <w:tcW w:type="dxa" w:w="4320"/>
          </w:tcPr>
          <w:p>
            <w:pPr>
              <w:spacing w:after="60"/>
            </w:pPr>
            <w:r>
              <w:rPr>
                <w:rFonts w:ascii="Arial" w:hAnsi="Arial"/>
                <w:sz w:val="20"/>
              </w:rPr>
              <w:t>Disables interludes unless an active rule enables one.</w:t>
            </w:r>
          </w:p>
        </w:tc>
      </w:tr>
      <w:tr>
        <w:trPr>
          <w:cantSplit/>
        </w:trPr>
        <w:tc>
          <w:tcPr>
            <w:tcW w:type="dxa" w:w="4320"/>
          </w:tcPr>
          <w:p>
            <w:pPr>
              <w:spacing w:after="60"/>
            </w:pPr>
            <w:r>
              <w:rPr>
                <w:rFonts w:ascii="Arial" w:hAnsi="Arial"/>
                <w:sz w:val="20"/>
              </w:rPr>
              <w:t>Ripple / il=2</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il=3</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Hand Spin / il=4</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il=5</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Hour Count / il=6</w:t>
            </w:r>
          </w:p>
        </w:tc>
        <w:tc>
          <w:tcPr>
            <w:tcW w:type="dxa" w:w="4320"/>
          </w:tcPr>
          <w:p>
            <w:pPr>
              <w:spacing w:after="60"/>
            </w:pPr>
            <w:r>
              <w:rPr>
                <w:rFonts w:ascii="Arial" w:hAnsi="Arial"/>
                <w:sz w:val="20"/>
              </w:rPr>
              <w:t>Hour markers light in sequence up to the current hour; noon and midnight count twelve.</w:t>
            </w:r>
          </w:p>
        </w:tc>
      </w:tr>
      <w:tr>
        <w:trPr>
          <w:cantSplit/>
        </w:trPr>
        <w:tc>
          <w:tcPr>
            <w:tcW w:type="dxa" w:w="4320"/>
          </w:tcPr>
          <w:p>
            <w:pPr>
              <w:spacing w:after="60"/>
            </w:pPr>
            <w:r>
              <w:rPr>
                <w:rFonts w:ascii="Arial" w:hAnsi="Arial"/>
                <w:sz w:val="20"/>
              </w:rPr>
              <w:t>Color Tide / il=7</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Rotate Interludes / il=8</w:t>
            </w:r>
          </w:p>
        </w:tc>
        <w:tc>
          <w:tcPr>
            <w:tcW w:type="dxa" w:w="4320"/>
          </w:tcPr>
          <w:p>
            <w:pPr>
              <w:spacing w:after="60"/>
            </w:pPr>
            <w:r>
              <w:rPr>
                <w:rFonts w:ascii="Arial" w:hAnsi="Arial"/>
                <w:sz w:val="20"/>
              </w:rPr>
              <w:t>Plays Ripple through Color Tide in order, one per interval, then repeats. Selecting Rotate Interludes starts again at Ripple.</w:t>
            </w:r>
          </w:p>
        </w:tc>
      </w:tr>
    </w:tbl>
    <w:p/>
    <w:p>
      <w:r>
        <w:rPr>
          <w:rFonts w:ascii="Arial" w:hAnsi="Arial"/>
          <w:sz w:val="22"/>
        </w:rPr>
        <w:t>All six interludes last about five seconds and use the current master brightness, including any active brightness rule. There is no separate interlude brightness control. Pendulum remains a continuous effect in Colors and Effects; Pendulum Kick is no longer an interlude option, and il=1 is not accepted.</w:t>
      </w:r>
    </w:p>
    <w:p>
      <w:r>
        <w:rPr>
          <w:rFonts w:ascii="Arial" w:hAnsi="Arial"/>
          <w:sz w:val="22"/>
        </w:rPr>
        <w:t>Intervals follow clock boundaries: a 15-minute interval runs at :00, :15, :30 and :45; Hourly runs at the top of the hour. Selecting an interlude does not start it immediately. Wait for the next boundary. Booting or jumping the clock forward does not replay missed interludes.</w:t>
      </w:r>
    </w:p>
    <w:p>
      <w:r>
        <w:rPr>
          <w:rFonts w:ascii="Arial" w:hAnsi="Arial"/>
          <w:sz w:val="22"/>
        </w:rPr>
        <w:t>Changing display settings or applying rules cancels a running interlude. Interludes are suppressed while brightness is zero or setup, IP display or firmware update owns the display. At completion, the normal clock resumes at the current time.</w:t>
      </w:r>
    </w:p>
    <w:p>
      <w:r>
        <w:rPr>
          <w:rFonts w:ascii="Arial" w:hAnsi="Arial"/>
          <w:sz w:val="22"/>
        </w:rPr>
        <w:t>To run interludes only at selected times, set Interlude to Off and save. Then add time-range rules with il and ii as described in Section 10. A rule can choose the interlude and interval independently of Hand Style.</w:t>
      </w:r>
    </w:p>
    <w:p>
      <w:pPr>
        <w:sectPr>
          <w:headerReference w:type="default" r:id="rId709"/>
          <w:footerReference w:type="default" r:id="rId71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711"/>
          <w:footerReference w:type="default" r:id="rId71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hand styles,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713"/>
          <w:footerReference w:type="default" r:id="rId71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RingClock, the top matching rule takes priority when rules set the same field. On BitClock, the last matching rule (lowest in the list) takes priority. Rules setting different fields combine on both clocks.</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Previous/Next buttons show two rules per page. RingClock stores up to 32 rules with PSRAM or 20 without.</w:t>
      </w:r>
    </w:p>
    <w:p>
      <w:r>
        <w:rPr>
          <w:rFonts w:ascii="Arial" w:hAnsi="Arial"/>
          <w:sz w:val="22"/>
        </w:rPr>
        <w:t>Rules Enabled is a temporary switch that returns to On after reboot. Manually changing a display setting while a rule is active disables Rules.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hs</w:t>
            </w:r>
          </w:p>
        </w:tc>
        <w:tc>
          <w:tcPr>
            <w:tcW w:type="dxa" w:w="4320"/>
          </w:tcPr>
          <w:p>
            <w:pPr>
              <w:spacing w:after="60"/>
            </w:pPr>
            <w:r>
              <w:rPr>
                <w:rFonts w:ascii="Arial" w:hAnsi="Arial"/>
                <w:sz w:val="20"/>
              </w:rPr>
              <w:t>Master brightness 0–9; Hand Style 0–15 (hs or handstyle)</w:t>
            </w:r>
          </w:p>
        </w:tc>
      </w:tr>
      <w:tr>
        <w:trPr>
          <w:cantSplit/>
        </w:trPr>
        <w:tc>
          <w:tcPr>
            <w:tcW w:type="dxa" w:w="4320"/>
          </w:tcPr>
          <w:p>
            <w:pPr>
              <w:spacing w:after="60"/>
            </w:pPr>
            <w:r>
              <w:rPr>
                <w:rFonts w:ascii="Arial" w:hAnsi="Arial"/>
                <w:sz w:val="20"/>
              </w:rPr>
              <w:t>il</w:t>
            </w:r>
          </w:p>
        </w:tc>
        <w:tc>
          <w:tcPr>
            <w:tcW w:type="dxa" w:w="4320"/>
          </w:tcPr>
          <w:p>
            <w:pPr>
              <w:spacing w:after="60"/>
            </w:pPr>
            <w:r>
              <w:rPr>
                <w:rFonts w:ascii="Arial" w:hAnsi="Arial"/>
                <w:sz w:val="20"/>
              </w:rPr>
              <w:t>Interlude: 0 Off, 2 Ripple, 3 Hour Gathering, 4 Hand Spin, 5 Comet Pair, 6 Hour Count, 7 Color Tide, 8 Rotate Interludes (il or interlude)</w:t>
            </w:r>
          </w:p>
        </w:tc>
      </w:tr>
      <w:tr>
        <w:trPr>
          <w:cantSplit/>
        </w:trPr>
        <w:tc>
          <w:tcPr>
            <w:tcW w:type="dxa" w:w="4320"/>
          </w:tcPr>
          <w:p>
            <w:pPr>
              <w:spacing w:after="60"/>
            </w:pPr>
            <w:r>
              <w:rPr>
                <w:rFonts w:ascii="Arial" w:hAnsi="Arial"/>
                <w:sz w:val="20"/>
              </w:rPr>
              <w:t>ii</w:t>
            </w:r>
          </w:p>
        </w:tc>
        <w:tc>
          <w:tcPr>
            <w:tcW w:type="dxa" w:w="4320"/>
          </w:tcPr>
          <w:p>
            <w:pPr>
              <w:spacing w:after="60"/>
            </w:pPr>
            <w:r>
              <w:rPr>
                <w:rFonts w:ascii="Arial" w:hAnsi="Arial"/>
                <w:sz w:val="20"/>
              </w:rPr>
              <w:t>Interlude Interval in minutes: 1, 5, 15, 30 or 60 (ii or interludeinterval)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ro</w:t>
            </w:r>
          </w:p>
        </w:tc>
        <w:tc>
          <w:tcPr>
            <w:tcW w:type="dxa" w:w="4320"/>
          </w:tcPr>
          <w:p>
            <w:pPr>
              <w:spacing w:after="60"/>
            </w:pPr>
            <w:r>
              <w:rPr>
                <w:rFonts w:ascii="Arial" w:hAnsi="Arial"/>
                <w:sz w:val="20"/>
              </w:rPr>
              <w:t>Custom Rotate Styles order of hand styles 0–14; implies Rotate Styles (hs=15) (ro or rotateorder)</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Interlude examples: t=8-12 il=4 ii=15 runs Hand Spin every 15 minutes in the morning; t=12-18 il=2 ii=5 selects Ripple every five minutes in the afternoon; t=18-22 il=5 ii=30 selects Comet Pair every half hour in the evening. Set the Display default to Off if no interludes are wanted outside those windows. To test Ripple each minute, use t=all il=2 ii=1. The interval is a number of minutes, not a dropdown index.</w:t>
      </w:r>
    </w:p>
    <w:p>
      <w:r>
        <w:rPr>
          <w:rFonts w:ascii="Arial" w:hAnsi="Arial"/>
          <w:sz w:val="22"/>
        </w:rPr>
        <w:t>Use hs for Hand Style, il for Interlude, ii for Interlude Interval and ro for a custom Rotate Styles order. The long names handstyle, interlude, interludeinterval and rotateorder are also accepted. Firmware 2.5 no longer accepts the older keys (dm, pa, ai, ao and their long names); rules written with them must be re-entered with the new keys.</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w:t>
      </w:r>
    </w:p>
    <w:p>
      <w:pPr>
        <w:sectPr>
          <w:headerReference w:type="default" r:id="rId715"/>
          <w:footerReference w:type="default" r:id="rId71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717"/>
          <w:footerReference w:type="default" r:id="rId71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719"/>
          <w:footerReference w:type="default" r:id="rId72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interlude or interlude interval.</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721"/>
          <w:footerReference w:type="default" r:id="rId72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723"/>
          <w:footerReference w:type="default" r:id="rId72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725"/>
      <w:footerReference w:type="default" r:id="rId726"/>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 Id="rId659" Type="http://schemas.openxmlformats.org/officeDocument/2006/relationships/header" Target="header327.xml"/><Relationship Id="rId660" Type="http://schemas.openxmlformats.org/officeDocument/2006/relationships/footer" Target="footer327.xml"/><Relationship Id="rId661" Type="http://schemas.openxmlformats.org/officeDocument/2006/relationships/header" Target="header328.xml"/><Relationship Id="rId662" Type="http://schemas.openxmlformats.org/officeDocument/2006/relationships/footer" Target="footer328.xml"/><Relationship Id="rId663" Type="http://schemas.openxmlformats.org/officeDocument/2006/relationships/header" Target="header329.xml"/><Relationship Id="rId664" Type="http://schemas.openxmlformats.org/officeDocument/2006/relationships/footer" Target="footer329.xml"/><Relationship Id="rId665" Type="http://schemas.openxmlformats.org/officeDocument/2006/relationships/header" Target="header330.xml"/><Relationship Id="rId666" Type="http://schemas.openxmlformats.org/officeDocument/2006/relationships/footer" Target="footer330.xml"/><Relationship Id="rId667" Type="http://schemas.openxmlformats.org/officeDocument/2006/relationships/header" Target="header331.xml"/><Relationship Id="rId668" Type="http://schemas.openxmlformats.org/officeDocument/2006/relationships/footer" Target="footer331.xml"/><Relationship Id="rId669" Type="http://schemas.openxmlformats.org/officeDocument/2006/relationships/header" Target="header332.xml"/><Relationship Id="rId670" Type="http://schemas.openxmlformats.org/officeDocument/2006/relationships/footer" Target="footer332.xml"/><Relationship Id="rId671" Type="http://schemas.openxmlformats.org/officeDocument/2006/relationships/header" Target="header333.xml"/><Relationship Id="rId672" Type="http://schemas.openxmlformats.org/officeDocument/2006/relationships/footer" Target="footer333.xml"/><Relationship Id="rId673" Type="http://schemas.openxmlformats.org/officeDocument/2006/relationships/header" Target="header334.xml"/><Relationship Id="rId674" Type="http://schemas.openxmlformats.org/officeDocument/2006/relationships/footer" Target="footer334.xml"/><Relationship Id="rId675" Type="http://schemas.openxmlformats.org/officeDocument/2006/relationships/header" Target="header335.xml"/><Relationship Id="rId676" Type="http://schemas.openxmlformats.org/officeDocument/2006/relationships/footer" Target="footer335.xml"/><Relationship Id="rId677" Type="http://schemas.openxmlformats.org/officeDocument/2006/relationships/header" Target="header336.xml"/><Relationship Id="rId678" Type="http://schemas.openxmlformats.org/officeDocument/2006/relationships/footer" Target="footer336.xml"/><Relationship Id="rId679" Type="http://schemas.openxmlformats.org/officeDocument/2006/relationships/header" Target="header337.xml"/><Relationship Id="rId680" Type="http://schemas.openxmlformats.org/officeDocument/2006/relationships/footer" Target="footer337.xml"/><Relationship Id="rId681" Type="http://schemas.openxmlformats.org/officeDocument/2006/relationships/header" Target="header338.xml"/><Relationship Id="rId682" Type="http://schemas.openxmlformats.org/officeDocument/2006/relationships/footer" Target="footer338.xml"/><Relationship Id="rId683" Type="http://schemas.openxmlformats.org/officeDocument/2006/relationships/header" Target="header339.xml"/><Relationship Id="rId684" Type="http://schemas.openxmlformats.org/officeDocument/2006/relationships/footer" Target="footer339.xml"/><Relationship Id="rId685" Type="http://schemas.openxmlformats.org/officeDocument/2006/relationships/header" Target="header340.xml"/><Relationship Id="rId686" Type="http://schemas.openxmlformats.org/officeDocument/2006/relationships/footer" Target="footer340.xml"/><Relationship Id="rId687" Type="http://schemas.openxmlformats.org/officeDocument/2006/relationships/header" Target="header341.xml"/><Relationship Id="rId688" Type="http://schemas.openxmlformats.org/officeDocument/2006/relationships/footer" Target="footer341.xml"/><Relationship Id="rId689" Type="http://schemas.openxmlformats.org/officeDocument/2006/relationships/header" Target="header342.xml"/><Relationship Id="rId690" Type="http://schemas.openxmlformats.org/officeDocument/2006/relationships/footer" Target="footer342.xml"/><Relationship Id="rId691" Type="http://schemas.openxmlformats.org/officeDocument/2006/relationships/header" Target="header343.xml"/><Relationship Id="rId692" Type="http://schemas.openxmlformats.org/officeDocument/2006/relationships/footer" Target="footer343.xml"/><Relationship Id="rId693" Type="http://schemas.openxmlformats.org/officeDocument/2006/relationships/header" Target="header344.xml"/><Relationship Id="rId694" Type="http://schemas.openxmlformats.org/officeDocument/2006/relationships/footer" Target="footer344.xml"/><Relationship Id="rId695" Type="http://schemas.openxmlformats.org/officeDocument/2006/relationships/header" Target="header345.xml"/><Relationship Id="rId696" Type="http://schemas.openxmlformats.org/officeDocument/2006/relationships/footer" Target="footer345.xml"/><Relationship Id="rId697" Type="http://schemas.openxmlformats.org/officeDocument/2006/relationships/header" Target="header346.xml"/><Relationship Id="rId698" Type="http://schemas.openxmlformats.org/officeDocument/2006/relationships/footer" Target="footer346.xml"/><Relationship Id="rId699" Type="http://schemas.openxmlformats.org/officeDocument/2006/relationships/header" Target="header347.xml"/><Relationship Id="rId700" Type="http://schemas.openxmlformats.org/officeDocument/2006/relationships/footer" Target="footer347.xml"/><Relationship Id="rId701" Type="http://schemas.openxmlformats.org/officeDocument/2006/relationships/header" Target="header348.xml"/><Relationship Id="rId702" Type="http://schemas.openxmlformats.org/officeDocument/2006/relationships/footer" Target="footer348.xml"/><Relationship Id="rId703" Type="http://schemas.openxmlformats.org/officeDocument/2006/relationships/header" Target="header349.xml"/><Relationship Id="rId704" Type="http://schemas.openxmlformats.org/officeDocument/2006/relationships/footer" Target="footer349.xml"/><Relationship Id="rId705" Type="http://schemas.openxmlformats.org/officeDocument/2006/relationships/header" Target="header350.xml"/><Relationship Id="rId706" Type="http://schemas.openxmlformats.org/officeDocument/2006/relationships/footer" Target="footer350.xml"/><Relationship Id="rId707" Type="http://schemas.openxmlformats.org/officeDocument/2006/relationships/header" Target="header351.xml"/><Relationship Id="rId708" Type="http://schemas.openxmlformats.org/officeDocument/2006/relationships/footer" Target="footer351.xml"/><Relationship Id="rId709" Type="http://schemas.openxmlformats.org/officeDocument/2006/relationships/header" Target="header352.xml"/><Relationship Id="rId710" Type="http://schemas.openxmlformats.org/officeDocument/2006/relationships/footer" Target="footer352.xml"/><Relationship Id="rId711" Type="http://schemas.openxmlformats.org/officeDocument/2006/relationships/header" Target="header353.xml"/><Relationship Id="rId712" Type="http://schemas.openxmlformats.org/officeDocument/2006/relationships/footer" Target="footer353.xml"/><Relationship Id="rId713" Type="http://schemas.openxmlformats.org/officeDocument/2006/relationships/header" Target="header354.xml"/><Relationship Id="rId714" Type="http://schemas.openxmlformats.org/officeDocument/2006/relationships/footer" Target="footer354.xml"/><Relationship Id="rId715" Type="http://schemas.openxmlformats.org/officeDocument/2006/relationships/header" Target="header355.xml"/><Relationship Id="rId716" Type="http://schemas.openxmlformats.org/officeDocument/2006/relationships/footer" Target="footer355.xml"/><Relationship Id="rId717" Type="http://schemas.openxmlformats.org/officeDocument/2006/relationships/header" Target="header356.xml"/><Relationship Id="rId718" Type="http://schemas.openxmlformats.org/officeDocument/2006/relationships/footer" Target="footer356.xml"/><Relationship Id="rId719" Type="http://schemas.openxmlformats.org/officeDocument/2006/relationships/header" Target="header357.xml"/><Relationship Id="rId720" Type="http://schemas.openxmlformats.org/officeDocument/2006/relationships/footer" Target="footer357.xml"/><Relationship Id="rId721" Type="http://schemas.openxmlformats.org/officeDocument/2006/relationships/header" Target="header358.xml"/><Relationship Id="rId722" Type="http://schemas.openxmlformats.org/officeDocument/2006/relationships/footer" Target="footer358.xml"/><Relationship Id="rId723" Type="http://schemas.openxmlformats.org/officeDocument/2006/relationships/header" Target="header359.xml"/><Relationship Id="rId724" Type="http://schemas.openxmlformats.org/officeDocument/2006/relationships/footer" Target="footer359.xml"/><Relationship Id="rId725" Type="http://schemas.openxmlformats.org/officeDocument/2006/relationships/header" Target="header360.xml"/><Relationship Id="rId726" Type="http://schemas.openxmlformats.org/officeDocument/2006/relationships/footer" Target="footer360.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